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111FFE" w:rsidRDefault="006E7304" w:rsidP="00111FFE">
      <w:pPr>
        <w:pStyle w:val="1"/>
        <w:jc w:val="center"/>
        <w:rPr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F408FB">
        <w:rPr>
          <w:color w:val="auto"/>
        </w:rPr>
        <w:t>3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201</w:t>
      </w:r>
      <w:r w:rsidR="003E3BFE">
        <w:rPr>
          <w:color w:val="auto"/>
        </w:rPr>
        <w:t>6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F408FB" w:rsidRDefault="00F408FB" w:rsidP="00F408FB">
      <w:pPr>
        <w:pStyle w:val="a3"/>
      </w:pPr>
      <w:r w:rsidRPr="00B73E7E">
        <w:t xml:space="preserve">Всего в </w:t>
      </w:r>
      <w:r w:rsidRPr="00915AB1">
        <w:t>3 квартале 201</w:t>
      </w:r>
      <w:r w:rsidR="005734BD">
        <w:t>6</w:t>
      </w:r>
      <w:r w:rsidRPr="00915AB1">
        <w:t xml:space="preserve"> года в адрес Управления поступило </w:t>
      </w:r>
      <w:r w:rsidR="00915AB1">
        <w:t>3</w:t>
      </w:r>
      <w:r w:rsidR="00964F94" w:rsidRPr="00964F94">
        <w:t>6</w:t>
      </w:r>
      <w:r w:rsidRPr="00915AB1">
        <w:t xml:space="preserve"> письменных обращени</w:t>
      </w:r>
      <w:r w:rsidR="0002753A" w:rsidRPr="00915AB1">
        <w:t>я</w:t>
      </w:r>
      <w:r w:rsidRPr="00915AB1">
        <w:t xml:space="preserve"> граждан Российской Федерации. Из них рассмотрено </w:t>
      </w:r>
      <w:r w:rsidR="005734BD">
        <w:t>2</w:t>
      </w:r>
      <w:r w:rsidR="00633581">
        <w:t>6</w:t>
      </w:r>
      <w:r w:rsidRPr="00915AB1">
        <w:t xml:space="preserve"> обращений, </w:t>
      </w:r>
      <w:r w:rsidR="00633581">
        <w:t>10</w:t>
      </w:r>
      <w:r w:rsidRPr="00915AB1">
        <w:t xml:space="preserve"> находятся на рассмотрении. </w:t>
      </w:r>
      <w:r w:rsidR="004C4588" w:rsidRPr="00915AB1">
        <w:t>Кроме того,</w:t>
      </w:r>
      <w:r w:rsidRPr="00915AB1">
        <w:t xml:space="preserve"> даны разъяснения на </w:t>
      </w:r>
      <w:r w:rsidR="005734BD">
        <w:t>24</w:t>
      </w:r>
      <w:r w:rsidRPr="00915AB1">
        <w:t xml:space="preserve"> устн</w:t>
      </w:r>
      <w:r w:rsidR="00915AB1">
        <w:t>ых</w:t>
      </w:r>
      <w:r w:rsidRPr="00915AB1">
        <w:t xml:space="preserve"> обращени</w:t>
      </w:r>
      <w:r w:rsidR="00915AB1">
        <w:t>й</w:t>
      </w:r>
      <w:r w:rsidRPr="00915AB1">
        <w:t>, поступивши</w:t>
      </w:r>
      <w:r w:rsidR="00915AB1">
        <w:t>х</w:t>
      </w:r>
      <w:r w:rsidRPr="00915AB1">
        <w:t xml:space="preserve"> как от граждан, так и от представителей операторов связи и других юридических лиц.</w:t>
      </w:r>
      <w:r w:rsidRPr="00B73E7E">
        <w:t xml:space="preserve"> </w:t>
      </w:r>
    </w:p>
    <w:p w:rsidR="00F408FB" w:rsidRPr="00B73E7E" w:rsidRDefault="00F408FB" w:rsidP="00F408FB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605"/>
        <w:gridCol w:w="2605"/>
      </w:tblGrid>
      <w:tr w:rsidR="00F408FB" w:rsidRPr="00B73E7E" w:rsidTr="00F408FB">
        <w:tc>
          <w:tcPr>
            <w:tcW w:w="4361" w:type="dxa"/>
          </w:tcPr>
          <w:p w:rsidR="00F408FB" w:rsidRPr="00B73E7E" w:rsidRDefault="00F408FB" w:rsidP="00F408FB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73E7E">
              <w:rPr>
                <w:b/>
                <w:sz w:val="24"/>
                <w:szCs w:val="24"/>
              </w:rPr>
              <w:t xml:space="preserve">Количество поступивших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</w:tr>
      <w:tr w:rsidR="0089345C" w:rsidRPr="00B73E7E" w:rsidTr="00F408FB">
        <w:tc>
          <w:tcPr>
            <w:tcW w:w="4361" w:type="dxa"/>
          </w:tcPr>
          <w:p w:rsidR="0089345C" w:rsidRPr="00B73E7E" w:rsidRDefault="0089345C" w:rsidP="0089345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B73E7E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05" w:type="dxa"/>
          </w:tcPr>
          <w:p w:rsidR="0089345C" w:rsidRPr="00B73E7E" w:rsidRDefault="0089345C" w:rsidP="0089345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73E7E">
              <w:rPr>
                <w:b/>
                <w:sz w:val="24"/>
                <w:szCs w:val="24"/>
              </w:rPr>
              <w:t xml:space="preserve"> кв. 201</w:t>
            </w:r>
            <w:r>
              <w:rPr>
                <w:b/>
                <w:sz w:val="24"/>
                <w:szCs w:val="24"/>
              </w:rPr>
              <w:t>5 г.</w:t>
            </w:r>
          </w:p>
        </w:tc>
        <w:tc>
          <w:tcPr>
            <w:tcW w:w="2605" w:type="dxa"/>
          </w:tcPr>
          <w:p w:rsidR="0089345C" w:rsidRPr="00B73E7E" w:rsidRDefault="0089345C" w:rsidP="0089345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73E7E">
              <w:rPr>
                <w:b/>
                <w:sz w:val="24"/>
                <w:szCs w:val="24"/>
              </w:rPr>
              <w:t xml:space="preserve"> кв. 201</w:t>
            </w:r>
            <w:r>
              <w:rPr>
                <w:b/>
                <w:sz w:val="24"/>
                <w:szCs w:val="24"/>
              </w:rPr>
              <w:t>6 г.</w:t>
            </w:r>
          </w:p>
        </w:tc>
      </w:tr>
      <w:tr w:rsidR="0089345C" w:rsidRPr="00B73E7E" w:rsidTr="00F408FB">
        <w:tc>
          <w:tcPr>
            <w:tcW w:w="4361" w:type="dxa"/>
          </w:tcPr>
          <w:p w:rsidR="0089345C" w:rsidRPr="00B73E7E" w:rsidRDefault="0089345C" w:rsidP="0089345C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СМИ</w:t>
            </w:r>
          </w:p>
        </w:tc>
        <w:tc>
          <w:tcPr>
            <w:tcW w:w="2605" w:type="dxa"/>
          </w:tcPr>
          <w:p w:rsidR="0089345C" w:rsidRPr="00B73E7E" w:rsidRDefault="0089345C" w:rsidP="0089345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89345C" w:rsidRPr="00E400F6" w:rsidRDefault="00E400F6" w:rsidP="0089345C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89345C" w:rsidRPr="00B73E7E" w:rsidTr="00F408FB">
        <w:tc>
          <w:tcPr>
            <w:tcW w:w="4361" w:type="dxa"/>
          </w:tcPr>
          <w:p w:rsidR="0089345C" w:rsidRPr="00B73E7E" w:rsidRDefault="0089345C" w:rsidP="0089345C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Связь</w:t>
            </w:r>
          </w:p>
        </w:tc>
        <w:tc>
          <w:tcPr>
            <w:tcW w:w="2605" w:type="dxa"/>
          </w:tcPr>
          <w:p w:rsidR="0089345C" w:rsidRPr="00B73E7E" w:rsidRDefault="0089345C" w:rsidP="0089345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89345C" w:rsidRPr="00B73E7E" w:rsidRDefault="00964F94" w:rsidP="0089345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89345C" w:rsidRPr="00B73E7E" w:rsidTr="00F408FB">
        <w:tc>
          <w:tcPr>
            <w:tcW w:w="4361" w:type="dxa"/>
          </w:tcPr>
          <w:p w:rsidR="0089345C" w:rsidRPr="00B73E7E" w:rsidRDefault="0089345C" w:rsidP="0089345C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605" w:type="dxa"/>
          </w:tcPr>
          <w:p w:rsidR="0089345C" w:rsidRPr="00B73E7E" w:rsidRDefault="0089345C" w:rsidP="0089345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89345C" w:rsidRPr="00B73E7E" w:rsidRDefault="008949AB" w:rsidP="0089345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259E6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353D6D" w:rsidRDefault="00B31D20" w:rsidP="00B31D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D20">
        <w:rPr>
          <w:rFonts w:ascii="Times New Roman" w:hAnsi="Times New Roman" w:cs="Times New Roman"/>
          <w:sz w:val="28"/>
          <w:szCs w:val="28"/>
        </w:rPr>
        <w:t xml:space="preserve">В отчетном периоде поступило </w:t>
      </w:r>
      <w:r w:rsidR="00106358">
        <w:rPr>
          <w:rFonts w:ascii="Times New Roman" w:hAnsi="Times New Roman" w:cs="Times New Roman"/>
          <w:sz w:val="28"/>
          <w:szCs w:val="28"/>
        </w:rPr>
        <w:t>1</w:t>
      </w:r>
      <w:r w:rsidRPr="00B31D2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6358">
        <w:rPr>
          <w:rFonts w:ascii="Times New Roman" w:hAnsi="Times New Roman" w:cs="Times New Roman"/>
          <w:sz w:val="28"/>
          <w:szCs w:val="28"/>
        </w:rPr>
        <w:t xml:space="preserve">е от </w:t>
      </w:r>
      <w:r w:rsidRPr="00B31D20">
        <w:rPr>
          <w:rFonts w:ascii="Times New Roman" w:hAnsi="Times New Roman" w:cs="Times New Roman"/>
          <w:sz w:val="28"/>
          <w:szCs w:val="28"/>
        </w:rPr>
        <w:t>граждан</w:t>
      </w:r>
      <w:r w:rsidR="00106358">
        <w:rPr>
          <w:rFonts w:ascii="Times New Roman" w:hAnsi="Times New Roman" w:cs="Times New Roman"/>
          <w:sz w:val="28"/>
          <w:szCs w:val="28"/>
        </w:rPr>
        <w:t>ина</w:t>
      </w:r>
      <w:r w:rsidRPr="00B31D20">
        <w:rPr>
          <w:rFonts w:ascii="Times New Roman" w:hAnsi="Times New Roman" w:cs="Times New Roman"/>
          <w:sz w:val="28"/>
          <w:szCs w:val="28"/>
        </w:rPr>
        <w:t>, относящи</w:t>
      </w:r>
      <w:r w:rsidR="00106358">
        <w:rPr>
          <w:rFonts w:ascii="Times New Roman" w:hAnsi="Times New Roman" w:cs="Times New Roman"/>
          <w:sz w:val="28"/>
          <w:szCs w:val="28"/>
        </w:rPr>
        <w:t>е</w:t>
      </w:r>
      <w:r w:rsidRPr="00B31D20">
        <w:rPr>
          <w:rFonts w:ascii="Times New Roman" w:hAnsi="Times New Roman" w:cs="Times New Roman"/>
          <w:sz w:val="28"/>
          <w:szCs w:val="28"/>
        </w:rPr>
        <w:t>ся к сфере массовых коммуникаций.</w:t>
      </w:r>
    </w:p>
    <w:p w:rsidR="0002753A" w:rsidRDefault="00353D6D" w:rsidP="00B31D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</w:t>
      </w:r>
      <w:r w:rsidRPr="00353D6D">
        <w:rPr>
          <w:rFonts w:ascii="Times New Roman" w:hAnsi="Times New Roman" w:cs="Times New Roman"/>
          <w:sz w:val="28"/>
          <w:szCs w:val="28"/>
        </w:rPr>
        <w:t xml:space="preserve">бращение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353D6D">
        <w:rPr>
          <w:rFonts w:ascii="Times New Roman" w:hAnsi="Times New Roman" w:cs="Times New Roman"/>
          <w:sz w:val="28"/>
          <w:szCs w:val="28"/>
        </w:rPr>
        <w:t>от представителя общественной организации по вопросу возможных нарушений законов Российской Федерации при регистрации СМИ «Искра Юг». Нарушения законодательства установлены не были, заявителю направлены соответствующие разъяснения.</w:t>
      </w:r>
    </w:p>
    <w:p w:rsidR="00B31D20" w:rsidRPr="00F408FB" w:rsidRDefault="00B31D20" w:rsidP="00B31D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B31D20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B31D20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</w:p>
    <w:p w:rsidR="00F408FB" w:rsidRDefault="00F408FB" w:rsidP="00F408FB">
      <w:pPr>
        <w:pStyle w:val="a3"/>
        <w:jc w:val="left"/>
      </w:pPr>
      <w:r w:rsidRPr="00DD04AA">
        <w:t>Список лиц, действия которых обжаловались:</w:t>
      </w: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6311"/>
        <w:gridCol w:w="1631"/>
        <w:gridCol w:w="1631"/>
      </w:tblGrid>
      <w:tr w:rsidR="00E11FB6" w:rsidRPr="007F1141" w:rsidTr="00E11FB6">
        <w:trPr>
          <w:cantSplit/>
          <w:trHeight w:val="300"/>
          <w:tblHeader/>
        </w:trPr>
        <w:tc>
          <w:tcPr>
            <w:tcW w:w="3296" w:type="pct"/>
            <w:noWrap/>
            <w:hideMark/>
          </w:tcPr>
          <w:p w:rsidR="00E11FB6" w:rsidRDefault="00E11FB6" w:rsidP="00E11FB6">
            <w:pPr>
              <w:pStyle w:val="a4"/>
            </w:pPr>
            <w:r w:rsidRPr="004B2A80">
              <w:t>Наименование лица, действия которого обжалуются</w:t>
            </w:r>
          </w:p>
        </w:tc>
        <w:tc>
          <w:tcPr>
            <w:tcW w:w="852" w:type="pct"/>
          </w:tcPr>
          <w:p w:rsidR="00E11FB6" w:rsidRDefault="00E11FB6" w:rsidP="00E11FB6">
            <w:pPr>
              <w:pStyle w:val="-"/>
            </w:pPr>
            <w:r>
              <w:t>3 кв. 2015 г.</w:t>
            </w:r>
          </w:p>
        </w:tc>
        <w:tc>
          <w:tcPr>
            <w:tcW w:w="852" w:type="pct"/>
          </w:tcPr>
          <w:p w:rsidR="00E11FB6" w:rsidRDefault="00E11FB6" w:rsidP="00E11FB6">
            <w:pPr>
              <w:pStyle w:val="-"/>
            </w:pPr>
            <w:r>
              <w:t>3 кв. 2016 г.</w:t>
            </w:r>
          </w:p>
        </w:tc>
      </w:tr>
      <w:tr w:rsidR="00E11FB6" w:rsidRPr="007F1141" w:rsidTr="00E11FB6">
        <w:trPr>
          <w:cantSplit/>
          <w:trHeight w:val="300"/>
        </w:trPr>
        <w:tc>
          <w:tcPr>
            <w:tcW w:w="3296" w:type="pct"/>
            <w:noWrap/>
            <w:vAlign w:val="center"/>
            <w:hideMark/>
          </w:tcPr>
          <w:p w:rsidR="00E11FB6" w:rsidRPr="007F43DC" w:rsidDel="00321E54" w:rsidRDefault="00E11FB6" w:rsidP="00C6723D">
            <w:pPr>
              <w:pStyle w:val="a4"/>
              <w:jc w:val="left"/>
            </w:pPr>
            <w:r w:rsidRPr="007F43DC">
              <w:rPr>
                <w:color w:val="000000"/>
              </w:rPr>
              <w:t>ФГУП «Почта России»</w:t>
            </w:r>
          </w:p>
        </w:tc>
        <w:tc>
          <w:tcPr>
            <w:tcW w:w="852" w:type="pct"/>
          </w:tcPr>
          <w:p w:rsidR="00E11FB6" w:rsidRPr="00E11FB6" w:rsidRDefault="00E11FB6" w:rsidP="00E11FB6">
            <w:pPr>
              <w:pStyle w:val="-"/>
              <w:rPr>
                <w:color w:val="000000"/>
              </w:rPr>
            </w:pPr>
            <w:r w:rsidRPr="00E11FB6">
              <w:rPr>
                <w:color w:val="000000"/>
              </w:rPr>
              <w:t>7</w:t>
            </w:r>
          </w:p>
        </w:tc>
        <w:tc>
          <w:tcPr>
            <w:tcW w:w="852" w:type="pct"/>
            <w:vAlign w:val="center"/>
          </w:tcPr>
          <w:p w:rsidR="00E11FB6" w:rsidRPr="00E11FB6" w:rsidRDefault="00A926C2" w:rsidP="00E11FB6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926C2" w:rsidRPr="007F1141" w:rsidTr="00E11FB6">
        <w:trPr>
          <w:cantSplit/>
          <w:trHeight w:val="300"/>
        </w:trPr>
        <w:tc>
          <w:tcPr>
            <w:tcW w:w="3296" w:type="pct"/>
            <w:noWrap/>
            <w:vAlign w:val="center"/>
          </w:tcPr>
          <w:p w:rsidR="00A926C2" w:rsidRPr="007F43DC" w:rsidRDefault="00A926C2" w:rsidP="00C6723D">
            <w:pPr>
              <w:pStyle w:val="a4"/>
              <w:jc w:val="left"/>
              <w:rPr>
                <w:color w:val="000000"/>
              </w:rPr>
            </w:pPr>
            <w:r>
              <w:rPr>
                <w:color w:val="000000"/>
              </w:rPr>
              <w:t>ПАО «</w:t>
            </w:r>
            <w:r w:rsidRPr="00A926C2">
              <w:rPr>
                <w:color w:val="000000"/>
              </w:rPr>
              <w:t>Вымпел-Коммуникации</w:t>
            </w:r>
            <w:r>
              <w:rPr>
                <w:color w:val="000000"/>
              </w:rPr>
              <w:t>»</w:t>
            </w:r>
          </w:p>
        </w:tc>
        <w:tc>
          <w:tcPr>
            <w:tcW w:w="852" w:type="pct"/>
          </w:tcPr>
          <w:p w:rsidR="00A926C2" w:rsidRPr="00E11FB6" w:rsidRDefault="00A926C2" w:rsidP="00E11FB6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2" w:type="pct"/>
            <w:vAlign w:val="center"/>
          </w:tcPr>
          <w:p w:rsidR="00A926C2" w:rsidRDefault="00A926C2" w:rsidP="00E11FB6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11FB6" w:rsidRPr="007F1141" w:rsidTr="00E11FB6">
        <w:trPr>
          <w:cantSplit/>
          <w:trHeight w:val="300"/>
        </w:trPr>
        <w:tc>
          <w:tcPr>
            <w:tcW w:w="3296" w:type="pct"/>
            <w:noWrap/>
            <w:vAlign w:val="center"/>
            <w:hideMark/>
          </w:tcPr>
          <w:p w:rsidR="00E11FB6" w:rsidRPr="007F43DC" w:rsidRDefault="00E11FB6" w:rsidP="00C6723D">
            <w:pPr>
              <w:pStyle w:val="a4"/>
              <w:jc w:val="left"/>
            </w:pPr>
            <w:r w:rsidRPr="007F43DC">
              <w:rPr>
                <w:color w:val="000000"/>
              </w:rPr>
              <w:t>ОАО «Ростелеком»</w:t>
            </w:r>
          </w:p>
        </w:tc>
        <w:tc>
          <w:tcPr>
            <w:tcW w:w="852" w:type="pct"/>
          </w:tcPr>
          <w:p w:rsidR="00E11FB6" w:rsidRPr="00E11FB6" w:rsidRDefault="00E11FB6" w:rsidP="00E11FB6">
            <w:pPr>
              <w:pStyle w:val="-"/>
              <w:rPr>
                <w:color w:val="000000"/>
              </w:rPr>
            </w:pPr>
            <w:r w:rsidRPr="00E11FB6">
              <w:rPr>
                <w:color w:val="000000"/>
              </w:rPr>
              <w:t>2</w:t>
            </w:r>
          </w:p>
        </w:tc>
        <w:tc>
          <w:tcPr>
            <w:tcW w:w="852" w:type="pct"/>
            <w:vAlign w:val="center"/>
          </w:tcPr>
          <w:p w:rsidR="00E11FB6" w:rsidRPr="00E11FB6" w:rsidRDefault="00000B05" w:rsidP="00E11FB6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00B05" w:rsidRPr="007F1141" w:rsidTr="00E11FB6">
        <w:trPr>
          <w:cantSplit/>
          <w:trHeight w:val="300"/>
        </w:trPr>
        <w:tc>
          <w:tcPr>
            <w:tcW w:w="3296" w:type="pct"/>
            <w:noWrap/>
            <w:vAlign w:val="center"/>
          </w:tcPr>
          <w:p w:rsidR="00000B05" w:rsidRPr="007F43DC" w:rsidRDefault="00000B05" w:rsidP="00C6723D">
            <w:pPr>
              <w:pStyle w:val="a4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Томкевич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852" w:type="pct"/>
          </w:tcPr>
          <w:p w:rsidR="00000B05" w:rsidRPr="00E11FB6" w:rsidRDefault="006267CE" w:rsidP="00E11FB6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2" w:type="pct"/>
            <w:vAlign w:val="center"/>
          </w:tcPr>
          <w:p w:rsidR="00000B05" w:rsidRDefault="006267CE" w:rsidP="00E11FB6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267CE" w:rsidRPr="007F1141" w:rsidTr="00E11FB6">
        <w:trPr>
          <w:cantSplit/>
          <w:trHeight w:val="300"/>
        </w:trPr>
        <w:tc>
          <w:tcPr>
            <w:tcW w:w="3296" w:type="pct"/>
            <w:noWrap/>
            <w:vAlign w:val="center"/>
          </w:tcPr>
          <w:p w:rsidR="006267CE" w:rsidRPr="007F43DC" w:rsidDel="00321E54" w:rsidRDefault="006267CE" w:rsidP="00C6723D">
            <w:pPr>
              <w:pStyle w:val="a4"/>
              <w:jc w:val="left"/>
            </w:pPr>
            <w:r w:rsidRPr="007F43DC">
              <w:rPr>
                <w:color w:val="000000"/>
              </w:rPr>
              <w:t>ОАО «МТС»</w:t>
            </w:r>
          </w:p>
        </w:tc>
        <w:tc>
          <w:tcPr>
            <w:tcW w:w="852" w:type="pct"/>
          </w:tcPr>
          <w:p w:rsidR="006267CE" w:rsidRPr="00E11FB6" w:rsidRDefault="006267CE" w:rsidP="006267CE">
            <w:pPr>
              <w:pStyle w:val="-"/>
              <w:rPr>
                <w:color w:val="000000"/>
              </w:rPr>
            </w:pPr>
            <w:r w:rsidRPr="00E11FB6">
              <w:rPr>
                <w:color w:val="000000"/>
              </w:rPr>
              <w:t>1</w:t>
            </w:r>
          </w:p>
        </w:tc>
        <w:tc>
          <w:tcPr>
            <w:tcW w:w="852" w:type="pct"/>
            <w:vAlign w:val="center"/>
          </w:tcPr>
          <w:p w:rsidR="006267CE" w:rsidRPr="007B59A2" w:rsidRDefault="007B59A2" w:rsidP="006267CE">
            <w:pPr>
              <w:pStyle w:val="-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6267CE" w:rsidRPr="007F1141" w:rsidTr="00E11FB6">
        <w:trPr>
          <w:cantSplit/>
          <w:trHeight w:val="300"/>
        </w:trPr>
        <w:tc>
          <w:tcPr>
            <w:tcW w:w="3296" w:type="pct"/>
            <w:noWrap/>
            <w:vAlign w:val="center"/>
            <w:hideMark/>
          </w:tcPr>
          <w:p w:rsidR="006267CE" w:rsidRPr="007F43DC" w:rsidRDefault="006267CE" w:rsidP="00C6723D">
            <w:pPr>
              <w:pStyle w:val="a4"/>
              <w:jc w:val="left"/>
            </w:pPr>
            <w:r w:rsidRPr="007F43DC">
              <w:rPr>
                <w:color w:val="000000"/>
              </w:rPr>
              <w:t>ОАО «МегаФон»</w:t>
            </w:r>
          </w:p>
        </w:tc>
        <w:tc>
          <w:tcPr>
            <w:tcW w:w="852" w:type="pct"/>
          </w:tcPr>
          <w:p w:rsidR="006267CE" w:rsidRPr="00E11FB6" w:rsidRDefault="006267CE" w:rsidP="006267CE">
            <w:pPr>
              <w:pStyle w:val="-"/>
              <w:rPr>
                <w:color w:val="000000"/>
              </w:rPr>
            </w:pPr>
            <w:r w:rsidRPr="00E11FB6">
              <w:rPr>
                <w:color w:val="000000"/>
              </w:rPr>
              <w:t>1</w:t>
            </w:r>
          </w:p>
        </w:tc>
        <w:tc>
          <w:tcPr>
            <w:tcW w:w="852" w:type="pct"/>
            <w:vAlign w:val="center"/>
          </w:tcPr>
          <w:p w:rsidR="006267CE" w:rsidRPr="00E11FB6" w:rsidRDefault="006267CE" w:rsidP="006267C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267CE" w:rsidRPr="007F1141" w:rsidTr="00E11FB6">
        <w:trPr>
          <w:cantSplit/>
          <w:trHeight w:val="300"/>
        </w:trPr>
        <w:tc>
          <w:tcPr>
            <w:tcW w:w="3296" w:type="pct"/>
            <w:noWrap/>
            <w:vAlign w:val="center"/>
            <w:hideMark/>
          </w:tcPr>
          <w:p w:rsidR="006267CE" w:rsidRPr="007F43DC" w:rsidDel="00321E54" w:rsidRDefault="006267CE" w:rsidP="00C6723D">
            <w:pPr>
              <w:pStyle w:val="a4"/>
              <w:jc w:val="left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852" w:type="pct"/>
          </w:tcPr>
          <w:p w:rsidR="006267CE" w:rsidRPr="00E11FB6" w:rsidRDefault="006267CE" w:rsidP="006267CE">
            <w:pPr>
              <w:pStyle w:val="-"/>
              <w:rPr>
                <w:color w:val="000000"/>
              </w:rPr>
            </w:pPr>
            <w:r w:rsidRPr="00E11FB6">
              <w:rPr>
                <w:color w:val="000000"/>
              </w:rPr>
              <w:t>3</w:t>
            </w:r>
          </w:p>
        </w:tc>
        <w:tc>
          <w:tcPr>
            <w:tcW w:w="852" w:type="pct"/>
            <w:vAlign w:val="center"/>
          </w:tcPr>
          <w:p w:rsidR="006267CE" w:rsidRPr="00E11FB6" w:rsidRDefault="006267CE" w:rsidP="006267C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267CE" w:rsidRPr="007F1141" w:rsidTr="00E11FB6">
        <w:trPr>
          <w:cantSplit/>
          <w:trHeight w:val="300"/>
        </w:trPr>
        <w:tc>
          <w:tcPr>
            <w:tcW w:w="3296" w:type="pct"/>
            <w:noWrap/>
            <w:hideMark/>
          </w:tcPr>
          <w:p w:rsidR="006267CE" w:rsidRPr="007F43DC" w:rsidRDefault="006267CE" w:rsidP="006267CE">
            <w:pPr>
              <w:pStyle w:val="a4"/>
              <w:jc w:val="right"/>
              <w:rPr>
                <w:b/>
              </w:rPr>
            </w:pPr>
            <w:r w:rsidRPr="007F43DC">
              <w:rPr>
                <w:b/>
              </w:rPr>
              <w:t>Общий итог</w:t>
            </w:r>
          </w:p>
        </w:tc>
        <w:tc>
          <w:tcPr>
            <w:tcW w:w="852" w:type="pct"/>
          </w:tcPr>
          <w:p w:rsidR="006267CE" w:rsidRPr="00E11FB6" w:rsidRDefault="006267CE" w:rsidP="006267CE">
            <w:pPr>
              <w:pStyle w:val="-"/>
            </w:pPr>
            <w:r w:rsidRPr="00E11FB6">
              <w:t>14</w:t>
            </w:r>
          </w:p>
        </w:tc>
        <w:tc>
          <w:tcPr>
            <w:tcW w:w="852" w:type="pct"/>
            <w:vAlign w:val="center"/>
          </w:tcPr>
          <w:p w:rsidR="006267CE" w:rsidRPr="007B59A2" w:rsidRDefault="00E078A5" w:rsidP="007B59A2">
            <w:pPr>
              <w:pStyle w:val="-"/>
              <w:rPr>
                <w:lang w:val="en-US"/>
              </w:rPr>
            </w:pPr>
            <w:r>
              <w:t>2</w:t>
            </w:r>
            <w:r w:rsidR="007B59A2">
              <w:rPr>
                <w:lang w:val="en-US"/>
              </w:rPr>
              <w:t>2</w:t>
            </w:r>
          </w:p>
        </w:tc>
      </w:tr>
    </w:tbl>
    <w:p w:rsidR="006337E7" w:rsidRDefault="006337E7" w:rsidP="00F408FB">
      <w:pPr>
        <w:pStyle w:val="a3"/>
        <w:jc w:val="left"/>
      </w:pPr>
    </w:p>
    <w:p w:rsidR="00F408FB" w:rsidRDefault="00F408FB" w:rsidP="00F408FB">
      <w:pPr>
        <w:pStyle w:val="a3"/>
        <w:jc w:val="left"/>
      </w:pPr>
      <w:r w:rsidRPr="00DD04AA">
        <w:t>Итоги рассмотрения обращений граждан:</w:t>
      </w:r>
    </w:p>
    <w:tbl>
      <w:tblPr>
        <w:tblStyle w:val="a5"/>
        <w:tblW w:w="5001" w:type="pct"/>
        <w:tblLook w:val="04A0" w:firstRow="1" w:lastRow="0" w:firstColumn="1" w:lastColumn="0" w:noHBand="0" w:noVBand="1"/>
      </w:tblPr>
      <w:tblGrid>
        <w:gridCol w:w="5155"/>
        <w:gridCol w:w="2209"/>
        <w:gridCol w:w="2209"/>
      </w:tblGrid>
      <w:tr w:rsidR="00940E89" w:rsidRPr="00D36695" w:rsidTr="00940E89">
        <w:trPr>
          <w:trHeight w:val="300"/>
        </w:trPr>
        <w:tc>
          <w:tcPr>
            <w:tcW w:w="2691" w:type="pct"/>
            <w:noWrap/>
            <w:vAlign w:val="center"/>
            <w:hideMark/>
          </w:tcPr>
          <w:p w:rsidR="00940E89" w:rsidRDefault="00940E89" w:rsidP="00940E89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1154" w:type="pct"/>
          </w:tcPr>
          <w:p w:rsidR="00940E89" w:rsidRDefault="00940E89" w:rsidP="00940E89">
            <w:pPr>
              <w:pStyle w:val="-"/>
            </w:pPr>
            <w:r>
              <w:t>3 кв. 2015 г.</w:t>
            </w:r>
          </w:p>
        </w:tc>
        <w:tc>
          <w:tcPr>
            <w:tcW w:w="1154" w:type="pct"/>
          </w:tcPr>
          <w:p w:rsidR="00940E89" w:rsidRDefault="00940E89" w:rsidP="00940E89">
            <w:pPr>
              <w:pStyle w:val="-"/>
            </w:pPr>
            <w:r>
              <w:t>3 кв. 2016 г.</w:t>
            </w:r>
          </w:p>
        </w:tc>
      </w:tr>
      <w:tr w:rsidR="00940E89" w:rsidRPr="00D36695" w:rsidTr="00940E89">
        <w:trPr>
          <w:trHeight w:val="300"/>
        </w:trPr>
        <w:tc>
          <w:tcPr>
            <w:tcW w:w="2691" w:type="pct"/>
            <w:noWrap/>
            <w:hideMark/>
          </w:tcPr>
          <w:p w:rsidR="00940E89" w:rsidRPr="007F43DC" w:rsidRDefault="00940E89" w:rsidP="00940E89">
            <w:pPr>
              <w:pStyle w:val="a4"/>
            </w:pPr>
            <w:r w:rsidRPr="007F43DC">
              <w:t>меры приняты</w:t>
            </w:r>
          </w:p>
        </w:tc>
        <w:tc>
          <w:tcPr>
            <w:tcW w:w="1154" w:type="pct"/>
          </w:tcPr>
          <w:p w:rsidR="00940E89" w:rsidRDefault="00940E89" w:rsidP="00940E89">
            <w:pPr>
              <w:pStyle w:val="a4"/>
              <w:rPr>
                <w:color w:val="000000"/>
              </w:rPr>
            </w:pPr>
            <w:r w:rsidRPr="003D5E5B">
              <w:rPr>
                <w:color w:val="000000"/>
              </w:rPr>
              <w:t>2</w:t>
            </w:r>
          </w:p>
        </w:tc>
        <w:tc>
          <w:tcPr>
            <w:tcW w:w="1154" w:type="pct"/>
          </w:tcPr>
          <w:p w:rsidR="00940E89" w:rsidRPr="007F43DC" w:rsidRDefault="005E0737" w:rsidP="00940E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40E89" w:rsidRPr="00D36695" w:rsidTr="00940E89">
        <w:trPr>
          <w:trHeight w:val="300"/>
        </w:trPr>
        <w:tc>
          <w:tcPr>
            <w:tcW w:w="2691" w:type="pct"/>
            <w:noWrap/>
            <w:hideMark/>
          </w:tcPr>
          <w:p w:rsidR="00940E89" w:rsidRPr="007F43DC" w:rsidRDefault="00940E89" w:rsidP="00940E89">
            <w:pPr>
              <w:pStyle w:val="a4"/>
            </w:pPr>
            <w:r w:rsidRPr="007F43DC">
              <w:t>на рассмотрении</w:t>
            </w:r>
          </w:p>
        </w:tc>
        <w:tc>
          <w:tcPr>
            <w:tcW w:w="1154" w:type="pct"/>
          </w:tcPr>
          <w:p w:rsidR="00940E89" w:rsidRDefault="00940E89" w:rsidP="00940E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4" w:type="pct"/>
          </w:tcPr>
          <w:p w:rsidR="00940E89" w:rsidRPr="007B59A2" w:rsidRDefault="007B59A2" w:rsidP="00940E89">
            <w:pPr>
              <w:pStyle w:val="a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940E89" w:rsidRPr="00D36695" w:rsidTr="00940E89">
        <w:trPr>
          <w:trHeight w:val="300"/>
        </w:trPr>
        <w:tc>
          <w:tcPr>
            <w:tcW w:w="2691" w:type="pct"/>
            <w:noWrap/>
            <w:hideMark/>
          </w:tcPr>
          <w:p w:rsidR="00940E89" w:rsidRPr="007F43DC" w:rsidRDefault="00940E89" w:rsidP="00940E89">
            <w:pPr>
              <w:pStyle w:val="a4"/>
            </w:pPr>
            <w:r w:rsidRPr="007F43DC">
              <w:t>переадресовано</w:t>
            </w:r>
          </w:p>
        </w:tc>
        <w:tc>
          <w:tcPr>
            <w:tcW w:w="1154" w:type="pct"/>
          </w:tcPr>
          <w:p w:rsidR="00940E89" w:rsidRDefault="00940E89" w:rsidP="00940E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4" w:type="pct"/>
          </w:tcPr>
          <w:p w:rsidR="00940E89" w:rsidRPr="007F43DC" w:rsidRDefault="005E0737" w:rsidP="00940E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40E89" w:rsidRPr="00D36695" w:rsidTr="00940E89">
        <w:trPr>
          <w:trHeight w:val="300"/>
        </w:trPr>
        <w:tc>
          <w:tcPr>
            <w:tcW w:w="2691" w:type="pct"/>
            <w:noWrap/>
            <w:hideMark/>
          </w:tcPr>
          <w:p w:rsidR="00940E89" w:rsidRPr="007F43DC" w:rsidRDefault="00940E89" w:rsidP="00940E89">
            <w:pPr>
              <w:pStyle w:val="a4"/>
            </w:pPr>
            <w:r w:rsidRPr="007F43DC">
              <w:t>разъяснено</w:t>
            </w:r>
          </w:p>
        </w:tc>
        <w:tc>
          <w:tcPr>
            <w:tcW w:w="1154" w:type="pct"/>
          </w:tcPr>
          <w:p w:rsidR="00940E89" w:rsidRDefault="00940E89" w:rsidP="00940E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4" w:type="pct"/>
          </w:tcPr>
          <w:p w:rsidR="00940E89" w:rsidRPr="007F43DC" w:rsidRDefault="005E0737" w:rsidP="00940E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E0737" w:rsidRPr="00D36695" w:rsidTr="00940E89">
        <w:trPr>
          <w:trHeight w:val="300"/>
        </w:trPr>
        <w:tc>
          <w:tcPr>
            <w:tcW w:w="2691" w:type="pct"/>
            <w:noWrap/>
          </w:tcPr>
          <w:p w:rsidR="005E0737" w:rsidRPr="007F43DC" w:rsidRDefault="005E0737" w:rsidP="00940E89">
            <w:pPr>
              <w:pStyle w:val="a4"/>
            </w:pPr>
            <w:r>
              <w:t>решено положительно</w:t>
            </w:r>
          </w:p>
        </w:tc>
        <w:tc>
          <w:tcPr>
            <w:tcW w:w="1154" w:type="pct"/>
          </w:tcPr>
          <w:p w:rsidR="005E0737" w:rsidRDefault="005E0737" w:rsidP="00940E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pct"/>
          </w:tcPr>
          <w:p w:rsidR="005E0737" w:rsidRDefault="005E0737" w:rsidP="00940E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E0737" w:rsidRPr="00D36695" w:rsidTr="00940E89">
        <w:trPr>
          <w:trHeight w:val="300"/>
        </w:trPr>
        <w:tc>
          <w:tcPr>
            <w:tcW w:w="2691" w:type="pct"/>
            <w:noWrap/>
          </w:tcPr>
          <w:p w:rsidR="005E0737" w:rsidRPr="007F43DC" w:rsidRDefault="005E0737" w:rsidP="00940E89">
            <w:pPr>
              <w:pStyle w:val="a4"/>
            </w:pPr>
            <w:r>
              <w:lastRenderedPageBreak/>
              <w:t>отказано</w:t>
            </w:r>
          </w:p>
        </w:tc>
        <w:tc>
          <w:tcPr>
            <w:tcW w:w="1154" w:type="pct"/>
          </w:tcPr>
          <w:p w:rsidR="005E0737" w:rsidRDefault="005E0737" w:rsidP="00940E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4" w:type="pct"/>
          </w:tcPr>
          <w:p w:rsidR="005E0737" w:rsidRPr="007F43DC" w:rsidRDefault="005E0737" w:rsidP="00940E8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F408FB" w:rsidRPr="00DD04AA" w:rsidRDefault="00F408FB" w:rsidP="00A94F26">
      <w:pPr>
        <w:pStyle w:val="a3"/>
      </w:pPr>
      <w:r w:rsidRPr="00DD04AA">
        <w:t>Как видно из представленных данных в 201</w:t>
      </w:r>
      <w:r w:rsidR="007B59A2" w:rsidRPr="007B59A2">
        <w:t>6</w:t>
      </w:r>
      <w:r w:rsidRPr="00DD04AA">
        <w:t xml:space="preserve"> году </w:t>
      </w:r>
      <w:r w:rsidR="00A94F26">
        <w:t xml:space="preserve">количество обращений увеличилось на </w:t>
      </w:r>
      <w:r w:rsidR="008E2A88">
        <w:t>50</w:t>
      </w:r>
      <w:r w:rsidR="00A94F26">
        <w:t xml:space="preserve">%. В большей части это обусловлено увеличением количества </w:t>
      </w:r>
      <w:r w:rsidRPr="00DD04AA">
        <w:t>обращений на качество услуг связи, предоставляемых ФГУП «Почта России»</w:t>
      </w:r>
      <w:r w:rsidR="007B5023">
        <w:t>, ПАО «Вымпел-Коммуникации»</w:t>
      </w:r>
      <w:r w:rsidR="00440F9B">
        <w:t xml:space="preserve"> и ПАО «Ростелеком»</w:t>
      </w:r>
      <w:r w:rsidRPr="00DD04AA">
        <w:t>.</w:t>
      </w:r>
    </w:p>
    <w:p w:rsidR="00F408FB" w:rsidRPr="00DD04AA" w:rsidRDefault="00A94F26" w:rsidP="00F408FB">
      <w:pPr>
        <w:pStyle w:val="a3"/>
      </w:pPr>
      <w:r>
        <w:t>Распределение по тематикам обращений, поступивших в отчетном периоде, выглядит следующим образом</w:t>
      </w:r>
      <w:r w:rsidR="00F408FB" w:rsidRPr="00DD04AA">
        <w:t>:</w:t>
      </w:r>
    </w:p>
    <w:p w:rsidR="00DE7D99" w:rsidRDefault="00DE7D99" w:rsidP="006647EE">
      <w:pPr>
        <w:pStyle w:val="a3"/>
        <w:numPr>
          <w:ilvl w:val="0"/>
          <w:numId w:val="3"/>
        </w:numPr>
      </w:pPr>
      <w:r>
        <w:t>8 (38,1%) по вопросам оказания услуг почтовой связи;</w:t>
      </w:r>
    </w:p>
    <w:p w:rsidR="00DE7D99" w:rsidRDefault="00DE7D99" w:rsidP="006647EE">
      <w:pPr>
        <w:pStyle w:val="a3"/>
        <w:numPr>
          <w:ilvl w:val="0"/>
          <w:numId w:val="3"/>
        </w:numPr>
      </w:pPr>
      <w:r>
        <w:t xml:space="preserve">5 (23,8%) по вопросам оказания </w:t>
      </w:r>
      <w:proofErr w:type="spellStart"/>
      <w:r>
        <w:t>телематических</w:t>
      </w:r>
      <w:proofErr w:type="spellEnd"/>
      <w:r>
        <w:t xml:space="preserve"> услуг связи;</w:t>
      </w:r>
    </w:p>
    <w:p w:rsidR="00DE7D99" w:rsidRDefault="00DE7D99" w:rsidP="006647EE">
      <w:pPr>
        <w:pStyle w:val="a3"/>
        <w:numPr>
          <w:ilvl w:val="0"/>
          <w:numId w:val="3"/>
        </w:numPr>
      </w:pPr>
      <w:r>
        <w:t>4 (19%)</w:t>
      </w:r>
      <w:r w:rsidR="001B7D63">
        <w:t xml:space="preserve"> </w:t>
      </w:r>
      <w:r>
        <w:t>по вопросам оказания услуг подвижной радиотелефонной связи</w:t>
      </w:r>
      <w:r w:rsidR="00627D00">
        <w:t>;</w:t>
      </w:r>
    </w:p>
    <w:p w:rsidR="00DE7D99" w:rsidRDefault="00DE7D99" w:rsidP="006647EE">
      <w:pPr>
        <w:pStyle w:val="a3"/>
        <w:numPr>
          <w:ilvl w:val="0"/>
          <w:numId w:val="3"/>
        </w:numPr>
      </w:pPr>
      <w:r>
        <w:t>2 (9,5%) по вопросам оказания услуг связи для целей кабельного телевизионного вещания</w:t>
      </w:r>
      <w:r w:rsidR="00627D00">
        <w:t>;</w:t>
      </w:r>
    </w:p>
    <w:p w:rsidR="00F408FB" w:rsidRDefault="00DE7D99" w:rsidP="006647EE">
      <w:pPr>
        <w:pStyle w:val="a3"/>
        <w:numPr>
          <w:ilvl w:val="0"/>
          <w:numId w:val="3"/>
        </w:numPr>
      </w:pPr>
      <w:r>
        <w:t>2 (9,5%) по иным вопросам.</w:t>
      </w:r>
    </w:p>
    <w:p w:rsidR="00DE7D99" w:rsidRDefault="00DE7D99" w:rsidP="00DE7D99">
      <w:pPr>
        <w:pStyle w:val="a3"/>
      </w:pPr>
    </w:p>
    <w:p w:rsidR="00F408FB" w:rsidRPr="0002753A" w:rsidRDefault="00F408FB" w:rsidP="00F408FB">
      <w:pPr>
        <w:pStyle w:val="4"/>
        <w:spacing w:before="0"/>
        <w:rPr>
          <w:rFonts w:cs="Times New Roman"/>
          <w:b/>
          <w:szCs w:val="28"/>
        </w:rPr>
      </w:pPr>
      <w:r w:rsidRPr="00835780">
        <w:rPr>
          <w:rFonts w:cs="Times New Roman"/>
          <w:b/>
          <w:szCs w:val="28"/>
        </w:rPr>
        <w:t>Работа с обращениями в области персональных данных</w:t>
      </w:r>
    </w:p>
    <w:p w:rsidR="00F408FB" w:rsidRPr="00F408FB" w:rsidRDefault="00931574" w:rsidP="00931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Pr="00931574">
        <w:rPr>
          <w:rFonts w:ascii="Times New Roman" w:hAnsi="Times New Roman" w:cs="Times New Roman"/>
          <w:sz w:val="28"/>
          <w:szCs w:val="28"/>
        </w:rPr>
        <w:t xml:space="preserve"> квартал 2016 года поступило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31574">
        <w:rPr>
          <w:rFonts w:ascii="Times New Roman" w:hAnsi="Times New Roman" w:cs="Times New Roman"/>
          <w:sz w:val="28"/>
          <w:szCs w:val="28"/>
        </w:rPr>
        <w:t xml:space="preserve"> обращений граждан в области персональных данных.</w:t>
      </w:r>
    </w:p>
    <w:p w:rsidR="00F408FB" w:rsidRPr="00F408FB" w:rsidRDefault="00F408FB" w:rsidP="00F40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F408FB" w:rsidRPr="00F408FB" w:rsidTr="00F408FB">
        <w:trPr>
          <w:trHeight w:val="300"/>
          <w:jc w:val="center"/>
        </w:trPr>
        <w:tc>
          <w:tcPr>
            <w:tcW w:w="4077" w:type="dxa"/>
          </w:tcPr>
          <w:p w:rsidR="00F408FB" w:rsidRPr="00F408FB" w:rsidRDefault="00F408FB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494" w:type="dxa"/>
            <w:shd w:val="clear" w:color="auto" w:fill="auto"/>
            <w:noWrap/>
            <w:vAlign w:val="center"/>
            <w:hideMark/>
          </w:tcPr>
          <w:p w:rsidR="00F408FB" w:rsidRPr="00F408FB" w:rsidRDefault="00F408FB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</w:t>
            </w:r>
          </w:p>
        </w:tc>
      </w:tr>
      <w:tr w:rsidR="007B59A2" w:rsidRPr="00F408FB" w:rsidTr="00F408FB">
        <w:trPr>
          <w:trHeight w:val="300"/>
          <w:jc w:val="center"/>
        </w:trPr>
        <w:tc>
          <w:tcPr>
            <w:tcW w:w="4077" w:type="dxa"/>
            <w:vAlign w:val="center"/>
          </w:tcPr>
          <w:p w:rsidR="007B59A2" w:rsidRPr="00F408FB" w:rsidRDefault="007B59A2" w:rsidP="007B5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3 кв.201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7B59A2" w:rsidRPr="00F408FB" w:rsidRDefault="007B59A2" w:rsidP="007B5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408FB" w:rsidRPr="00F408FB" w:rsidTr="00F408FB">
        <w:trPr>
          <w:trHeight w:val="300"/>
          <w:jc w:val="center"/>
        </w:trPr>
        <w:tc>
          <w:tcPr>
            <w:tcW w:w="4077" w:type="dxa"/>
            <w:vAlign w:val="center"/>
          </w:tcPr>
          <w:p w:rsidR="00F408FB" w:rsidRPr="00F408FB" w:rsidRDefault="00F408FB" w:rsidP="00835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3 кв.201</w:t>
            </w:r>
            <w:r w:rsidR="007B59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F408FB" w:rsidRPr="00F408FB" w:rsidRDefault="008949AB" w:rsidP="00F40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408FB" w:rsidRPr="00F408FB" w:rsidRDefault="00F408FB" w:rsidP="00F408F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1574" w:rsidRDefault="00931574" w:rsidP="009315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13 –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жалобы, содержащие доводы</w:t>
      </w:r>
      <w:r w:rsidRPr="00B20B7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931574" w:rsidRPr="00B20B76" w:rsidRDefault="00931574" w:rsidP="009315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 w:rsidR="00951124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931574" w:rsidRDefault="00931574" w:rsidP="009315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банков и кредитных организаций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 w:rsidR="00951124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951124" w:rsidRPr="00DF431B" w:rsidRDefault="00951124" w:rsidP="009315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операторов связи – 1;</w:t>
      </w:r>
    </w:p>
    <w:p w:rsidR="00931574" w:rsidRPr="00DF431B" w:rsidRDefault="00931574" w:rsidP="009315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2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931574" w:rsidRPr="00DF431B" w:rsidRDefault="00931574" w:rsidP="009315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ЖКХ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 w:rsidR="00951124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931574" w:rsidRDefault="00931574" w:rsidP="009315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951124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1E7745" w:rsidRPr="00931574" w:rsidRDefault="00951124" w:rsidP="009315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</w:t>
      </w:r>
      <w:r w:rsidR="0093157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ассмотрено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93157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="0093157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По результатам рассмотрения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93157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 них выявлены признаки нарушений, материалы направлены в органы прокуратуры.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6 случаях информация о нарушениях в области персональных данных не подтвердилась.</w:t>
      </w:r>
      <w:r w:rsidR="0093157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="00931574"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931574"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  <w:r w:rsidR="00931574"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" w:name="_GoBack"/>
      <w:bookmarkEnd w:id="3"/>
    </w:p>
    <w:sectPr w:rsidR="001E7745" w:rsidRPr="00931574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3FE9"/>
    <w:multiLevelType w:val="hybridMultilevel"/>
    <w:tmpl w:val="0AB29732"/>
    <w:lvl w:ilvl="0" w:tplc="E6981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00B05"/>
    <w:rsid w:val="0002753A"/>
    <w:rsid w:val="000B4193"/>
    <w:rsid w:val="00106358"/>
    <w:rsid w:val="00111FFE"/>
    <w:rsid w:val="00116787"/>
    <w:rsid w:val="0012052D"/>
    <w:rsid w:val="00163CAB"/>
    <w:rsid w:val="001B7D63"/>
    <w:rsid w:val="001E7745"/>
    <w:rsid w:val="00220851"/>
    <w:rsid w:val="00262C89"/>
    <w:rsid w:val="002E45AE"/>
    <w:rsid w:val="002F5E7B"/>
    <w:rsid w:val="003029D6"/>
    <w:rsid w:val="00347B44"/>
    <w:rsid w:val="00353D6D"/>
    <w:rsid w:val="0037612F"/>
    <w:rsid w:val="003D5E5B"/>
    <w:rsid w:val="003E3BFE"/>
    <w:rsid w:val="00424A5C"/>
    <w:rsid w:val="004259E6"/>
    <w:rsid w:val="004375E5"/>
    <w:rsid w:val="00440F9B"/>
    <w:rsid w:val="0044521C"/>
    <w:rsid w:val="004C4588"/>
    <w:rsid w:val="005734BD"/>
    <w:rsid w:val="005802D2"/>
    <w:rsid w:val="005E0737"/>
    <w:rsid w:val="00615570"/>
    <w:rsid w:val="00622498"/>
    <w:rsid w:val="006267CE"/>
    <w:rsid w:val="00627D00"/>
    <w:rsid w:val="00633581"/>
    <w:rsid w:val="006337E7"/>
    <w:rsid w:val="006647EE"/>
    <w:rsid w:val="006E7304"/>
    <w:rsid w:val="00720998"/>
    <w:rsid w:val="007B5023"/>
    <w:rsid w:val="007B59A2"/>
    <w:rsid w:val="007D42BE"/>
    <w:rsid w:val="007E3B34"/>
    <w:rsid w:val="00835780"/>
    <w:rsid w:val="0087283B"/>
    <w:rsid w:val="0089345C"/>
    <w:rsid w:val="008949AB"/>
    <w:rsid w:val="008D2119"/>
    <w:rsid w:val="008D2FAD"/>
    <w:rsid w:val="008E2A88"/>
    <w:rsid w:val="00915AB1"/>
    <w:rsid w:val="009278B6"/>
    <w:rsid w:val="00931574"/>
    <w:rsid w:val="00940E89"/>
    <w:rsid w:val="00951124"/>
    <w:rsid w:val="00964F94"/>
    <w:rsid w:val="00A926C2"/>
    <w:rsid w:val="00A94F26"/>
    <w:rsid w:val="00B11AC5"/>
    <w:rsid w:val="00B31338"/>
    <w:rsid w:val="00B31D20"/>
    <w:rsid w:val="00B51F4C"/>
    <w:rsid w:val="00BA4704"/>
    <w:rsid w:val="00C6485F"/>
    <w:rsid w:val="00C6723D"/>
    <w:rsid w:val="00C97FF8"/>
    <w:rsid w:val="00D3198B"/>
    <w:rsid w:val="00DE7D99"/>
    <w:rsid w:val="00E078A5"/>
    <w:rsid w:val="00E11FB6"/>
    <w:rsid w:val="00E400F6"/>
    <w:rsid w:val="00E5199F"/>
    <w:rsid w:val="00E527BD"/>
    <w:rsid w:val="00F3502B"/>
    <w:rsid w:val="00F408FB"/>
    <w:rsid w:val="00FC12AD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95D1E-34AC-41CA-BC29-86A77FB7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62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22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Сметанкина Мария Владимировна</cp:lastModifiedBy>
  <cp:revision>52</cp:revision>
  <cp:lastPrinted>2014-11-10T04:33:00Z</cp:lastPrinted>
  <dcterms:created xsi:type="dcterms:W3CDTF">2014-11-10T04:34:00Z</dcterms:created>
  <dcterms:modified xsi:type="dcterms:W3CDTF">2016-10-05T04:56:00Z</dcterms:modified>
</cp:coreProperties>
</file>