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111FFE" w:rsidRDefault="006E7304" w:rsidP="00111FFE">
      <w:pPr>
        <w:pStyle w:val="1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F408FB">
        <w:rPr>
          <w:color w:val="auto"/>
        </w:rPr>
        <w:t>3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720998">
        <w:rPr>
          <w:color w:val="auto"/>
        </w:rPr>
        <w:t>5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F408FB" w:rsidRDefault="00F408FB" w:rsidP="00F408FB">
      <w:pPr>
        <w:pStyle w:val="a3"/>
      </w:pPr>
      <w:r w:rsidRPr="00B73E7E">
        <w:t xml:space="preserve">Всего в </w:t>
      </w:r>
      <w:r w:rsidRPr="00915AB1">
        <w:t>3 квартале 201</w:t>
      </w:r>
      <w:r w:rsidR="00720998" w:rsidRPr="00915AB1">
        <w:t>5</w:t>
      </w:r>
      <w:r w:rsidRPr="00915AB1">
        <w:t xml:space="preserve"> года в адрес Управления поступило </w:t>
      </w:r>
      <w:r w:rsidR="00915AB1">
        <w:t>34</w:t>
      </w:r>
      <w:r w:rsidRPr="00915AB1">
        <w:t xml:space="preserve"> письменных обращени</w:t>
      </w:r>
      <w:r w:rsidR="0002753A" w:rsidRPr="00915AB1">
        <w:t>я</w:t>
      </w:r>
      <w:r w:rsidRPr="00915AB1">
        <w:t xml:space="preserve"> граждан Российской Федерации. Из них рассмотрено </w:t>
      </w:r>
      <w:r w:rsidR="00B51F4C">
        <w:t>30</w:t>
      </w:r>
      <w:r w:rsidRPr="00915AB1">
        <w:t xml:space="preserve"> обращений, </w:t>
      </w:r>
      <w:r w:rsidR="00B51F4C">
        <w:t>4</w:t>
      </w:r>
      <w:r w:rsidRPr="00915AB1">
        <w:t xml:space="preserve"> находятся на рассмотрении. Кроме того даны разъяснения на </w:t>
      </w:r>
      <w:r w:rsidR="00915AB1">
        <w:t>18</w:t>
      </w:r>
      <w:r w:rsidRPr="00915AB1">
        <w:t xml:space="preserve"> устн</w:t>
      </w:r>
      <w:r w:rsidR="00915AB1">
        <w:t>ых</w:t>
      </w:r>
      <w:r w:rsidRPr="00915AB1">
        <w:t xml:space="preserve"> обращени</w:t>
      </w:r>
      <w:r w:rsidR="00915AB1">
        <w:t>й</w:t>
      </w:r>
      <w:r w:rsidRPr="00915AB1">
        <w:t>, поступивши</w:t>
      </w:r>
      <w:r w:rsidR="00915AB1">
        <w:t>х</w:t>
      </w:r>
      <w:r w:rsidRPr="00915AB1">
        <w:t xml:space="preserve"> как от граждан, так и от представителей операторов связи и других юридических лиц.</w:t>
      </w:r>
      <w:r w:rsidRPr="00B73E7E">
        <w:t xml:space="preserve"> </w:t>
      </w:r>
    </w:p>
    <w:p w:rsidR="00F408FB" w:rsidRPr="00B73E7E" w:rsidRDefault="00F408FB" w:rsidP="00F408FB">
      <w:pPr>
        <w:pStyle w:val="a3"/>
      </w:pP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F408FB" w:rsidRPr="00B73E7E" w:rsidTr="00F408FB">
        <w:tc>
          <w:tcPr>
            <w:tcW w:w="4361" w:type="dxa"/>
          </w:tcPr>
          <w:p w:rsidR="00F408FB" w:rsidRPr="00B73E7E" w:rsidRDefault="00F408FB" w:rsidP="00F408F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 xml:space="preserve">Количество поступивших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</w:tr>
      <w:tr w:rsidR="00915AB1" w:rsidRPr="00B73E7E" w:rsidTr="00F408FB">
        <w:tc>
          <w:tcPr>
            <w:tcW w:w="4361" w:type="dxa"/>
          </w:tcPr>
          <w:p w:rsidR="00915AB1" w:rsidRPr="00B73E7E" w:rsidRDefault="00915AB1" w:rsidP="00F408FB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915AB1" w:rsidRPr="00B73E7E" w:rsidRDefault="00915AB1" w:rsidP="0011678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73E7E">
              <w:rPr>
                <w:b/>
                <w:sz w:val="24"/>
                <w:szCs w:val="24"/>
              </w:rPr>
              <w:t xml:space="preserve"> кв. 2014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915AB1" w:rsidRPr="00B73E7E" w:rsidRDefault="00915AB1" w:rsidP="00915AB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73E7E">
              <w:rPr>
                <w:b/>
                <w:sz w:val="24"/>
                <w:szCs w:val="24"/>
              </w:rPr>
              <w:t xml:space="preserve"> кв. 201</w:t>
            </w:r>
            <w:r>
              <w:rPr>
                <w:b/>
                <w:sz w:val="24"/>
                <w:szCs w:val="24"/>
              </w:rPr>
              <w:t>5 г.</w:t>
            </w:r>
          </w:p>
        </w:tc>
      </w:tr>
      <w:tr w:rsidR="00915AB1" w:rsidRPr="00B73E7E" w:rsidTr="00F408FB">
        <w:tc>
          <w:tcPr>
            <w:tcW w:w="4361" w:type="dxa"/>
          </w:tcPr>
          <w:p w:rsidR="00915AB1" w:rsidRPr="00B73E7E" w:rsidRDefault="00915AB1" w:rsidP="00F408FB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915AB1" w:rsidRPr="00B73E7E" w:rsidRDefault="00915AB1" w:rsidP="0011678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915AB1" w:rsidRPr="00B73E7E" w:rsidRDefault="00622498" w:rsidP="00F408F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5AB1" w:rsidRPr="00B73E7E" w:rsidTr="00F408FB">
        <w:tc>
          <w:tcPr>
            <w:tcW w:w="4361" w:type="dxa"/>
          </w:tcPr>
          <w:p w:rsidR="00915AB1" w:rsidRPr="00B73E7E" w:rsidRDefault="00915AB1" w:rsidP="00F408FB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915AB1" w:rsidRPr="00B73E7E" w:rsidRDefault="00915AB1" w:rsidP="0011678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915AB1" w:rsidRPr="00B73E7E" w:rsidRDefault="00915AB1" w:rsidP="00F408F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5AB1" w:rsidRPr="00B73E7E" w:rsidTr="00F408FB">
        <w:tc>
          <w:tcPr>
            <w:tcW w:w="4361" w:type="dxa"/>
          </w:tcPr>
          <w:p w:rsidR="00915AB1" w:rsidRPr="00B73E7E" w:rsidRDefault="00915AB1" w:rsidP="00F408FB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915AB1" w:rsidRPr="00B73E7E" w:rsidRDefault="00915AB1" w:rsidP="0011678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915AB1" w:rsidRPr="00B73E7E" w:rsidRDefault="004259E6" w:rsidP="00F408F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259E6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4259E6" w:rsidRPr="004259E6" w:rsidRDefault="004259E6" w:rsidP="004259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</w:rPr>
        <w:t xml:space="preserve">В отчетном периоде было рассмотрено 6 обращений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объединений, относящихся к сфере массовых коммуникаций. </w:t>
      </w:r>
    </w:p>
    <w:p w:rsidR="004259E6" w:rsidRPr="004259E6" w:rsidRDefault="004259E6" w:rsidP="004259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</w:rPr>
        <w:t>2 обращения касались распространения информации, причиняющей вред здоровью и (или) развитию детей.</w:t>
      </w:r>
    </w:p>
    <w:p w:rsidR="004259E6" w:rsidRPr="004259E6" w:rsidRDefault="004259E6" w:rsidP="004259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</w:rPr>
        <w:t>В одном обращении содержались доводы о распространении сайтами в сети «Интернет» информации, распространение которой в Российской Федерации запрещено, с просьбой о включении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4259E6" w:rsidRPr="004259E6" w:rsidRDefault="004259E6" w:rsidP="004259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</w:rPr>
        <w:t xml:space="preserve">Одно обращение гражданина для рассмотрения в рамках полномочий перенаправлено в Роскомнадзор. Вопрос касался включения в Реестр сайтов и (или) страниц сайтов в сети «Интернет», на которых размещается общедоступная </w:t>
      </w:r>
      <w:proofErr w:type="gramStart"/>
      <w:r w:rsidRPr="004259E6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4259E6">
        <w:rPr>
          <w:rFonts w:ascii="Times New Roman" w:hAnsi="Times New Roman" w:cs="Times New Roman"/>
          <w:sz w:val="28"/>
          <w:szCs w:val="28"/>
        </w:rPr>
        <w:t xml:space="preserve"> и доступ к которым в течение суток составляет более трех тысяч пользователей сети «Интернет».</w:t>
      </w:r>
    </w:p>
    <w:p w:rsidR="004259E6" w:rsidRPr="004259E6" w:rsidRDefault="004259E6" w:rsidP="004259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</w:rPr>
        <w:t>Одно обращение, поступившее от главного редактора газеты «Общество и власть. Час пик», касалось незаконного запрета на распространение в ходе единого дня голосования данного издания.</w:t>
      </w:r>
    </w:p>
    <w:p w:rsidR="004259E6" w:rsidRPr="004259E6" w:rsidRDefault="004259E6" w:rsidP="004259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</w:rPr>
        <w:t>По одному обращению были даны разъяснения по процедуре регистрации информационного агентства.</w:t>
      </w:r>
    </w:p>
    <w:p w:rsidR="004259E6" w:rsidRDefault="004259E6" w:rsidP="004259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</w:rPr>
        <w:t>Ни в одном случае нарушения законодательства установлены не были, заявителям направлены соответствующие разъяснения.</w:t>
      </w:r>
    </w:p>
    <w:p w:rsidR="0002753A" w:rsidRPr="00F408FB" w:rsidRDefault="0002753A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02753A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Cs w:val="28"/>
        </w:rPr>
      </w:pPr>
      <w:bookmarkStart w:id="2" w:name="_Toc329357338"/>
      <w:r w:rsidRPr="0002753A">
        <w:rPr>
          <w:rFonts w:ascii="Times New Roman" w:hAnsi="Times New Roman" w:cs="Times New Roman"/>
          <w:i/>
          <w:color w:val="auto"/>
          <w:szCs w:val="28"/>
        </w:rPr>
        <w:lastRenderedPageBreak/>
        <w:t>Работа с обращениями граждан в сфере связи</w:t>
      </w:r>
      <w:bookmarkEnd w:id="2"/>
    </w:p>
    <w:p w:rsidR="00F408FB" w:rsidRDefault="00F408FB" w:rsidP="00F408FB">
      <w:pPr>
        <w:pStyle w:val="a3"/>
        <w:jc w:val="left"/>
      </w:pPr>
      <w:r w:rsidRPr="00DD04AA">
        <w:t>Список лиц, действия которых обжаловались:</w:t>
      </w:r>
    </w:p>
    <w:tbl>
      <w:tblPr>
        <w:tblStyle w:val="a5"/>
        <w:tblW w:w="5000" w:type="pct"/>
        <w:tblLook w:val="04A0"/>
      </w:tblPr>
      <w:tblGrid>
        <w:gridCol w:w="6311"/>
        <w:gridCol w:w="1631"/>
        <w:gridCol w:w="1629"/>
      </w:tblGrid>
      <w:tr w:rsidR="00E527BD" w:rsidRPr="007F1141" w:rsidTr="00915AB1">
        <w:trPr>
          <w:cantSplit/>
          <w:trHeight w:val="300"/>
          <w:tblHeader/>
        </w:trPr>
        <w:tc>
          <w:tcPr>
            <w:tcW w:w="3297" w:type="pct"/>
            <w:noWrap/>
            <w:hideMark/>
          </w:tcPr>
          <w:p w:rsidR="00E527BD" w:rsidRDefault="00E527BD" w:rsidP="00F408FB">
            <w:pPr>
              <w:pStyle w:val="a4"/>
            </w:pPr>
            <w:r w:rsidRPr="004B2A80">
              <w:t>Наименование лица, действия которого обжалуются</w:t>
            </w:r>
          </w:p>
        </w:tc>
        <w:tc>
          <w:tcPr>
            <w:tcW w:w="852" w:type="pct"/>
          </w:tcPr>
          <w:p w:rsidR="00E527BD" w:rsidRDefault="00E527BD" w:rsidP="00E527BD">
            <w:pPr>
              <w:pStyle w:val="-"/>
            </w:pPr>
            <w:r>
              <w:t>3 кв. 2014 г.</w:t>
            </w:r>
          </w:p>
        </w:tc>
        <w:tc>
          <w:tcPr>
            <w:tcW w:w="851" w:type="pct"/>
          </w:tcPr>
          <w:p w:rsidR="00E527BD" w:rsidRDefault="00E527BD" w:rsidP="00E527BD">
            <w:pPr>
              <w:pStyle w:val="-"/>
            </w:pPr>
            <w:r>
              <w:t>3 кв. 2015 г.</w:t>
            </w:r>
          </w:p>
        </w:tc>
      </w:tr>
      <w:tr w:rsidR="00E527BD" w:rsidRPr="007F1141" w:rsidTr="00915AB1">
        <w:trPr>
          <w:cantSplit/>
          <w:trHeight w:val="300"/>
        </w:trPr>
        <w:tc>
          <w:tcPr>
            <w:tcW w:w="3297" w:type="pct"/>
            <w:noWrap/>
            <w:vAlign w:val="center"/>
            <w:hideMark/>
          </w:tcPr>
          <w:p w:rsidR="00E527BD" w:rsidRPr="007F43DC" w:rsidDel="00321E54" w:rsidRDefault="00E527BD" w:rsidP="00E527BD">
            <w:pPr>
              <w:pStyle w:val="a4"/>
              <w:jc w:val="left"/>
            </w:pPr>
            <w:r w:rsidRPr="007F43DC">
              <w:rPr>
                <w:color w:val="000000"/>
              </w:rPr>
              <w:t>ФГУП «Почта России»</w:t>
            </w:r>
          </w:p>
        </w:tc>
        <w:tc>
          <w:tcPr>
            <w:tcW w:w="852" w:type="pct"/>
            <w:vAlign w:val="center"/>
          </w:tcPr>
          <w:p w:rsidR="00E527BD" w:rsidRPr="00463781" w:rsidRDefault="00E527BD" w:rsidP="00116787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4</w:t>
            </w:r>
          </w:p>
        </w:tc>
        <w:tc>
          <w:tcPr>
            <w:tcW w:w="851" w:type="pct"/>
          </w:tcPr>
          <w:p w:rsidR="00E527BD" w:rsidRPr="00463781" w:rsidRDefault="00E527BD" w:rsidP="00116787">
            <w:pPr>
              <w:pStyle w:val="-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E527BD" w:rsidRPr="007F1141" w:rsidTr="00915AB1">
        <w:trPr>
          <w:cantSplit/>
          <w:trHeight w:val="300"/>
        </w:trPr>
        <w:tc>
          <w:tcPr>
            <w:tcW w:w="3297" w:type="pct"/>
            <w:noWrap/>
            <w:vAlign w:val="center"/>
            <w:hideMark/>
          </w:tcPr>
          <w:p w:rsidR="00E527BD" w:rsidRPr="007F43DC" w:rsidDel="00321E54" w:rsidRDefault="00E527BD" w:rsidP="00E527BD">
            <w:pPr>
              <w:pStyle w:val="a4"/>
              <w:jc w:val="left"/>
            </w:pPr>
            <w:r w:rsidRPr="007F43DC">
              <w:rPr>
                <w:color w:val="000000"/>
              </w:rPr>
              <w:t>ОАО «МТС»</w:t>
            </w:r>
          </w:p>
        </w:tc>
        <w:tc>
          <w:tcPr>
            <w:tcW w:w="852" w:type="pct"/>
            <w:vAlign w:val="center"/>
          </w:tcPr>
          <w:p w:rsidR="00E527BD" w:rsidRPr="00463781" w:rsidRDefault="00E527BD" w:rsidP="00116787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4</w:t>
            </w:r>
          </w:p>
        </w:tc>
        <w:tc>
          <w:tcPr>
            <w:tcW w:w="851" w:type="pct"/>
          </w:tcPr>
          <w:p w:rsidR="00E527BD" w:rsidRPr="00463781" w:rsidRDefault="00E527BD" w:rsidP="00116787">
            <w:pPr>
              <w:pStyle w:val="-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E527BD" w:rsidRPr="007F1141" w:rsidTr="00915AB1">
        <w:trPr>
          <w:cantSplit/>
          <w:trHeight w:val="300"/>
        </w:trPr>
        <w:tc>
          <w:tcPr>
            <w:tcW w:w="3297" w:type="pct"/>
            <w:noWrap/>
            <w:vAlign w:val="center"/>
            <w:hideMark/>
          </w:tcPr>
          <w:p w:rsidR="00E527BD" w:rsidRPr="007F43DC" w:rsidRDefault="00E527BD" w:rsidP="00E527BD">
            <w:pPr>
              <w:pStyle w:val="a4"/>
              <w:jc w:val="left"/>
            </w:pPr>
            <w:r w:rsidRPr="007F43DC">
              <w:rPr>
                <w:color w:val="000000"/>
              </w:rPr>
              <w:t>ОАО «Ростелеком»</w:t>
            </w:r>
          </w:p>
        </w:tc>
        <w:tc>
          <w:tcPr>
            <w:tcW w:w="852" w:type="pct"/>
            <w:vAlign w:val="center"/>
          </w:tcPr>
          <w:p w:rsidR="00E527BD" w:rsidRPr="00463781" w:rsidRDefault="00E527BD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2</w:t>
            </w:r>
          </w:p>
        </w:tc>
        <w:tc>
          <w:tcPr>
            <w:tcW w:w="851" w:type="pct"/>
          </w:tcPr>
          <w:p w:rsidR="00E527BD" w:rsidRPr="00463781" w:rsidRDefault="00E527BD" w:rsidP="00F408FB">
            <w:pPr>
              <w:pStyle w:val="-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E527BD" w:rsidRPr="007F1141" w:rsidTr="00915AB1">
        <w:trPr>
          <w:cantSplit/>
          <w:trHeight w:val="300"/>
        </w:trPr>
        <w:tc>
          <w:tcPr>
            <w:tcW w:w="3297" w:type="pct"/>
            <w:noWrap/>
            <w:vAlign w:val="center"/>
            <w:hideMark/>
          </w:tcPr>
          <w:p w:rsidR="00E527BD" w:rsidRPr="007F43DC" w:rsidRDefault="00E527BD" w:rsidP="00E527BD">
            <w:pPr>
              <w:pStyle w:val="a4"/>
              <w:jc w:val="left"/>
            </w:pPr>
            <w:r w:rsidRPr="007F43DC">
              <w:rPr>
                <w:color w:val="000000"/>
              </w:rPr>
              <w:t>ОАО «МегаФон»</w:t>
            </w:r>
          </w:p>
        </w:tc>
        <w:tc>
          <w:tcPr>
            <w:tcW w:w="852" w:type="pct"/>
            <w:vAlign w:val="center"/>
          </w:tcPr>
          <w:p w:rsidR="00E527BD" w:rsidRPr="00463781" w:rsidRDefault="00E527BD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1</w:t>
            </w:r>
          </w:p>
        </w:tc>
        <w:tc>
          <w:tcPr>
            <w:tcW w:w="851" w:type="pct"/>
          </w:tcPr>
          <w:p w:rsidR="00E527BD" w:rsidRPr="00463781" w:rsidRDefault="00E527BD" w:rsidP="00F408FB">
            <w:pPr>
              <w:pStyle w:val="-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E527BD" w:rsidRPr="007F1141" w:rsidTr="00915AB1">
        <w:trPr>
          <w:cantSplit/>
          <w:trHeight w:val="300"/>
        </w:trPr>
        <w:tc>
          <w:tcPr>
            <w:tcW w:w="3297" w:type="pct"/>
            <w:noWrap/>
            <w:vAlign w:val="center"/>
            <w:hideMark/>
          </w:tcPr>
          <w:p w:rsidR="00E527BD" w:rsidRPr="007F43DC" w:rsidDel="00321E54" w:rsidRDefault="00E527BD" w:rsidP="00E527BD">
            <w:pPr>
              <w:pStyle w:val="a4"/>
              <w:jc w:val="left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852" w:type="pct"/>
            <w:vAlign w:val="center"/>
          </w:tcPr>
          <w:p w:rsidR="00E527BD" w:rsidRPr="00463781" w:rsidRDefault="00E527BD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  <w:tc>
          <w:tcPr>
            <w:tcW w:w="851" w:type="pct"/>
          </w:tcPr>
          <w:p w:rsidR="00E527BD" w:rsidRPr="00463781" w:rsidRDefault="00E527BD" w:rsidP="00F408FB">
            <w:pPr>
              <w:pStyle w:val="-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E527BD" w:rsidRPr="007F1141" w:rsidTr="00915AB1">
        <w:trPr>
          <w:cantSplit/>
          <w:trHeight w:val="300"/>
        </w:trPr>
        <w:tc>
          <w:tcPr>
            <w:tcW w:w="3297" w:type="pct"/>
            <w:noWrap/>
            <w:hideMark/>
          </w:tcPr>
          <w:p w:rsidR="00E527BD" w:rsidRPr="007F43DC" w:rsidRDefault="00E527BD" w:rsidP="00F408FB">
            <w:pPr>
              <w:pStyle w:val="a4"/>
              <w:jc w:val="right"/>
              <w:rPr>
                <w:b/>
              </w:rPr>
            </w:pPr>
            <w:r w:rsidRPr="007F43DC">
              <w:rPr>
                <w:b/>
              </w:rPr>
              <w:t>Общий итог</w:t>
            </w:r>
          </w:p>
        </w:tc>
        <w:tc>
          <w:tcPr>
            <w:tcW w:w="852" w:type="pct"/>
            <w:vAlign w:val="center"/>
          </w:tcPr>
          <w:p w:rsidR="00E527BD" w:rsidRPr="00463781" w:rsidRDefault="00E527BD" w:rsidP="00F408FB">
            <w:pPr>
              <w:pStyle w:val="-"/>
            </w:pPr>
            <w:r w:rsidRPr="00463781">
              <w:t>12</w:t>
            </w:r>
          </w:p>
        </w:tc>
        <w:tc>
          <w:tcPr>
            <w:tcW w:w="851" w:type="pct"/>
          </w:tcPr>
          <w:p w:rsidR="00E527BD" w:rsidRPr="00463781" w:rsidRDefault="00E527BD" w:rsidP="00F408FB">
            <w:pPr>
              <w:pStyle w:val="-"/>
            </w:pPr>
            <w:r>
              <w:t>14</w:t>
            </w:r>
          </w:p>
        </w:tc>
      </w:tr>
    </w:tbl>
    <w:p w:rsidR="006337E7" w:rsidRDefault="006337E7" w:rsidP="00F408FB">
      <w:pPr>
        <w:pStyle w:val="a3"/>
        <w:jc w:val="left"/>
      </w:pPr>
    </w:p>
    <w:p w:rsidR="00F408FB" w:rsidRDefault="00F408FB" w:rsidP="00F408FB">
      <w:pPr>
        <w:pStyle w:val="a3"/>
        <w:jc w:val="left"/>
      </w:pPr>
      <w:r w:rsidRPr="00DD04AA">
        <w:t>Итоги рассмотрения обращений граждан:</w:t>
      </w:r>
    </w:p>
    <w:tbl>
      <w:tblPr>
        <w:tblStyle w:val="a5"/>
        <w:tblW w:w="5000" w:type="pct"/>
        <w:tblLook w:val="04A0"/>
      </w:tblPr>
      <w:tblGrid>
        <w:gridCol w:w="5153"/>
        <w:gridCol w:w="2209"/>
        <w:gridCol w:w="2209"/>
      </w:tblGrid>
      <w:tr w:rsidR="00A94F26" w:rsidRPr="00D36695" w:rsidTr="00A94F26">
        <w:trPr>
          <w:trHeight w:val="300"/>
        </w:trPr>
        <w:tc>
          <w:tcPr>
            <w:tcW w:w="2692" w:type="pct"/>
            <w:noWrap/>
            <w:vAlign w:val="center"/>
            <w:hideMark/>
          </w:tcPr>
          <w:p w:rsidR="00A94F26" w:rsidRDefault="00A94F26" w:rsidP="00F408FB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1154" w:type="pct"/>
          </w:tcPr>
          <w:p w:rsidR="00A94F26" w:rsidRDefault="00A94F26" w:rsidP="00F408FB">
            <w:pPr>
              <w:pStyle w:val="-"/>
            </w:pPr>
            <w:r>
              <w:t>3 кв. 2014 г.</w:t>
            </w:r>
          </w:p>
        </w:tc>
        <w:tc>
          <w:tcPr>
            <w:tcW w:w="1154" w:type="pct"/>
          </w:tcPr>
          <w:p w:rsidR="00A94F26" w:rsidRDefault="00A94F26" w:rsidP="00A94F26">
            <w:pPr>
              <w:pStyle w:val="-"/>
            </w:pPr>
            <w:r>
              <w:t>3 кв. 2015 г.</w:t>
            </w:r>
          </w:p>
        </w:tc>
      </w:tr>
      <w:tr w:rsidR="00A94F26" w:rsidRPr="00D36695" w:rsidTr="00A94F26">
        <w:trPr>
          <w:trHeight w:val="300"/>
        </w:trPr>
        <w:tc>
          <w:tcPr>
            <w:tcW w:w="2692" w:type="pct"/>
            <w:noWrap/>
            <w:hideMark/>
          </w:tcPr>
          <w:p w:rsidR="00A94F26" w:rsidRPr="007F43DC" w:rsidRDefault="00A94F26" w:rsidP="00F408FB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154" w:type="pct"/>
          </w:tcPr>
          <w:p w:rsidR="00A94F26" w:rsidRPr="007F43DC" w:rsidRDefault="00A94F26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4" w:type="pct"/>
          </w:tcPr>
          <w:p w:rsidR="00A94F26" w:rsidRDefault="00A94F26" w:rsidP="00F408FB">
            <w:pPr>
              <w:pStyle w:val="a4"/>
              <w:rPr>
                <w:color w:val="000000"/>
              </w:rPr>
            </w:pPr>
            <w:r w:rsidRPr="003D5E5B">
              <w:rPr>
                <w:color w:val="000000"/>
              </w:rPr>
              <w:t>2</w:t>
            </w:r>
          </w:p>
        </w:tc>
      </w:tr>
      <w:tr w:rsidR="00A94F26" w:rsidRPr="00D36695" w:rsidTr="00A94F26">
        <w:trPr>
          <w:trHeight w:val="300"/>
        </w:trPr>
        <w:tc>
          <w:tcPr>
            <w:tcW w:w="2692" w:type="pct"/>
            <w:noWrap/>
            <w:hideMark/>
          </w:tcPr>
          <w:p w:rsidR="00A94F26" w:rsidRPr="007F43DC" w:rsidRDefault="00A94F26" w:rsidP="00F408FB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154" w:type="pct"/>
          </w:tcPr>
          <w:p w:rsidR="00A94F26" w:rsidRPr="007F43DC" w:rsidRDefault="00A94F26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4" w:type="pct"/>
          </w:tcPr>
          <w:p w:rsidR="00A94F26" w:rsidRDefault="003D5E5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4F26" w:rsidRPr="00D36695" w:rsidTr="00A94F26">
        <w:trPr>
          <w:trHeight w:val="300"/>
        </w:trPr>
        <w:tc>
          <w:tcPr>
            <w:tcW w:w="2692" w:type="pct"/>
            <w:noWrap/>
            <w:hideMark/>
          </w:tcPr>
          <w:p w:rsidR="00A94F26" w:rsidRPr="007F43DC" w:rsidRDefault="00A94F26" w:rsidP="00F408FB">
            <w:pPr>
              <w:pStyle w:val="a4"/>
            </w:pPr>
            <w:r w:rsidRPr="007F43DC">
              <w:t>переадресовано</w:t>
            </w:r>
          </w:p>
        </w:tc>
        <w:tc>
          <w:tcPr>
            <w:tcW w:w="1154" w:type="pct"/>
          </w:tcPr>
          <w:p w:rsidR="00A94F26" w:rsidRPr="007F43DC" w:rsidRDefault="00A94F26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pct"/>
          </w:tcPr>
          <w:p w:rsidR="00A94F26" w:rsidRDefault="00A94F26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94F26" w:rsidRPr="00D36695" w:rsidTr="00A94F26">
        <w:trPr>
          <w:trHeight w:val="300"/>
        </w:trPr>
        <w:tc>
          <w:tcPr>
            <w:tcW w:w="2692" w:type="pct"/>
            <w:noWrap/>
            <w:hideMark/>
          </w:tcPr>
          <w:p w:rsidR="00A94F26" w:rsidRPr="007F43DC" w:rsidRDefault="00A94F26" w:rsidP="00F408FB">
            <w:pPr>
              <w:pStyle w:val="a4"/>
            </w:pPr>
            <w:r w:rsidRPr="007F43DC">
              <w:t>разъяснено</w:t>
            </w:r>
          </w:p>
        </w:tc>
        <w:tc>
          <w:tcPr>
            <w:tcW w:w="1154" w:type="pct"/>
          </w:tcPr>
          <w:p w:rsidR="00A94F26" w:rsidRPr="007F43DC" w:rsidRDefault="00A94F26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4" w:type="pct"/>
          </w:tcPr>
          <w:p w:rsidR="00A94F26" w:rsidRDefault="003D5E5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F408FB" w:rsidRPr="00DD04AA" w:rsidRDefault="00F408FB" w:rsidP="00A94F26">
      <w:pPr>
        <w:pStyle w:val="a3"/>
      </w:pPr>
      <w:r w:rsidRPr="00DD04AA">
        <w:t>Как видно из представленных данных в 201</w:t>
      </w:r>
      <w:r w:rsidR="00A94F26">
        <w:t>5</w:t>
      </w:r>
      <w:r w:rsidRPr="00DD04AA">
        <w:t xml:space="preserve"> году </w:t>
      </w:r>
      <w:r w:rsidR="00A94F26">
        <w:t xml:space="preserve">количество обращений увеличилось на 17%. В большей части это обусловлено увеличением количества </w:t>
      </w:r>
      <w:r w:rsidRPr="00DD04AA">
        <w:t>обращений на качество услуг связи, предоставляемых ФГУП «Почта России».</w:t>
      </w:r>
    </w:p>
    <w:p w:rsidR="00F408FB" w:rsidRPr="00DD04AA" w:rsidRDefault="00A94F26" w:rsidP="00F408FB">
      <w:pPr>
        <w:pStyle w:val="a3"/>
      </w:pPr>
      <w:r>
        <w:t>Распределение по тематикам обращений, поступивших в отчетном периоде, выглядит следующим образом</w:t>
      </w:r>
      <w:r w:rsidR="00F408FB" w:rsidRPr="00DD04AA">
        <w:t>:</w:t>
      </w:r>
    </w:p>
    <w:p w:rsidR="004375E5" w:rsidRPr="00DD04AA" w:rsidRDefault="004375E5" w:rsidP="004375E5">
      <w:pPr>
        <w:pStyle w:val="a3"/>
        <w:numPr>
          <w:ilvl w:val="0"/>
          <w:numId w:val="2"/>
        </w:numPr>
      </w:pPr>
      <w:r>
        <w:t>7 </w:t>
      </w:r>
      <w:r w:rsidRPr="00DD04AA">
        <w:t>(</w:t>
      </w:r>
      <w:r>
        <w:t>50</w:t>
      </w:r>
      <w:r w:rsidRPr="00DD04AA">
        <w:t>%) по вопросам оказания услуг почтовой связи;</w:t>
      </w:r>
    </w:p>
    <w:p w:rsidR="00F408FB" w:rsidRPr="00DD04AA" w:rsidRDefault="004375E5" w:rsidP="00F408FB">
      <w:pPr>
        <w:pStyle w:val="a3"/>
        <w:numPr>
          <w:ilvl w:val="0"/>
          <w:numId w:val="2"/>
        </w:numPr>
      </w:pPr>
      <w:r>
        <w:t>2</w:t>
      </w:r>
      <w:r w:rsidR="00F408FB">
        <w:t> </w:t>
      </w:r>
      <w:r w:rsidR="00F408FB" w:rsidRPr="00DD04AA">
        <w:t>(</w:t>
      </w:r>
      <w:r>
        <w:t>14</w:t>
      </w:r>
      <w:r w:rsidR="00F408FB" w:rsidRPr="00DD04AA">
        <w:t xml:space="preserve">%) по вопросам </w:t>
      </w:r>
      <w:r w:rsidR="00F408FB">
        <w:t>оказания телематических услуг связи</w:t>
      </w:r>
      <w:r w:rsidR="00F408FB" w:rsidRPr="00DD04AA">
        <w:t>;</w:t>
      </w:r>
    </w:p>
    <w:p w:rsidR="00F408FB" w:rsidRDefault="00F408FB" w:rsidP="00F408FB">
      <w:pPr>
        <w:pStyle w:val="a3"/>
        <w:numPr>
          <w:ilvl w:val="0"/>
          <w:numId w:val="2"/>
        </w:numPr>
      </w:pPr>
      <w:r>
        <w:t>2 </w:t>
      </w:r>
      <w:r w:rsidRPr="00DD04AA">
        <w:t>(</w:t>
      </w:r>
      <w:r w:rsidR="004375E5">
        <w:t>14</w:t>
      </w:r>
      <w:r w:rsidRPr="00DD04AA">
        <w:t xml:space="preserve">%) по вопросам </w:t>
      </w:r>
      <w:r w:rsidR="004375E5">
        <w:t xml:space="preserve">оплаты </w:t>
      </w:r>
      <w:r w:rsidRPr="00DD04AA">
        <w:t>услуг</w:t>
      </w:r>
      <w:r w:rsidR="004375E5">
        <w:t>;</w:t>
      </w:r>
    </w:p>
    <w:p w:rsidR="004375E5" w:rsidRPr="00DD04AA" w:rsidRDefault="004375E5" w:rsidP="00F408FB">
      <w:pPr>
        <w:pStyle w:val="a3"/>
        <w:numPr>
          <w:ilvl w:val="0"/>
          <w:numId w:val="2"/>
        </w:numPr>
      </w:pPr>
      <w:r>
        <w:t xml:space="preserve">3 </w:t>
      </w:r>
      <w:r w:rsidRPr="00DD04AA">
        <w:t>(</w:t>
      </w:r>
      <w:r>
        <w:t>21</w:t>
      </w:r>
      <w:r w:rsidRPr="00DD04AA">
        <w:t>%)</w:t>
      </w:r>
      <w:r>
        <w:t xml:space="preserve"> по иным вопросам.</w:t>
      </w:r>
    </w:p>
    <w:p w:rsidR="00F408FB" w:rsidRDefault="00F408FB" w:rsidP="00F408FB">
      <w:pPr>
        <w:pStyle w:val="a3"/>
      </w:pPr>
    </w:p>
    <w:p w:rsidR="00F408FB" w:rsidRPr="0002753A" w:rsidRDefault="00F408FB" w:rsidP="00F408FB">
      <w:pPr>
        <w:pStyle w:val="4"/>
        <w:spacing w:before="0"/>
        <w:rPr>
          <w:rFonts w:cs="Times New Roman"/>
          <w:b/>
          <w:szCs w:val="28"/>
        </w:rPr>
      </w:pPr>
      <w:r w:rsidRPr="00835780">
        <w:rPr>
          <w:rFonts w:cs="Times New Roman"/>
          <w:b/>
          <w:szCs w:val="28"/>
        </w:rPr>
        <w:t>Работа с обращениями в области персональных данных</w:t>
      </w:r>
    </w:p>
    <w:p w:rsidR="00F408FB" w:rsidRPr="00F408FB" w:rsidRDefault="00F408FB" w:rsidP="00F40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8FB">
        <w:rPr>
          <w:rFonts w:ascii="Times New Roman" w:hAnsi="Times New Roman" w:cs="Times New Roman"/>
          <w:sz w:val="28"/>
          <w:szCs w:val="28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период.</w:t>
      </w:r>
    </w:p>
    <w:p w:rsidR="00F408FB" w:rsidRPr="00F408FB" w:rsidRDefault="00F408FB" w:rsidP="00F40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494"/>
      </w:tblGrid>
      <w:tr w:rsidR="00F408FB" w:rsidRPr="00F408FB" w:rsidTr="00F408FB">
        <w:trPr>
          <w:trHeight w:val="300"/>
          <w:jc w:val="center"/>
        </w:trPr>
        <w:tc>
          <w:tcPr>
            <w:tcW w:w="4077" w:type="dxa"/>
          </w:tcPr>
          <w:p w:rsidR="00F408FB" w:rsidRPr="00F408FB" w:rsidRDefault="00F408F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494" w:type="dxa"/>
            <w:shd w:val="clear" w:color="auto" w:fill="auto"/>
            <w:noWrap/>
            <w:vAlign w:val="center"/>
            <w:hideMark/>
          </w:tcPr>
          <w:p w:rsidR="00F408FB" w:rsidRPr="00F408FB" w:rsidRDefault="00F408F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</w:t>
            </w:r>
          </w:p>
        </w:tc>
      </w:tr>
      <w:tr w:rsidR="00F408FB" w:rsidRPr="00F408FB" w:rsidTr="00F408FB">
        <w:trPr>
          <w:trHeight w:val="300"/>
          <w:jc w:val="center"/>
        </w:trPr>
        <w:tc>
          <w:tcPr>
            <w:tcW w:w="4077" w:type="dxa"/>
            <w:vAlign w:val="center"/>
          </w:tcPr>
          <w:p w:rsidR="00F408FB" w:rsidRPr="00F408FB" w:rsidRDefault="00835780" w:rsidP="0083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08FB"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408FB" w:rsidRPr="00F408FB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08FB"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F408FB" w:rsidRPr="00F408FB" w:rsidRDefault="00835780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08FB" w:rsidRPr="00F408FB" w:rsidTr="00F408FB">
        <w:trPr>
          <w:trHeight w:val="300"/>
          <w:jc w:val="center"/>
        </w:trPr>
        <w:tc>
          <w:tcPr>
            <w:tcW w:w="4077" w:type="dxa"/>
            <w:vAlign w:val="center"/>
          </w:tcPr>
          <w:p w:rsidR="00F408FB" w:rsidRPr="00F408FB" w:rsidRDefault="00F408FB" w:rsidP="0083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3 кв.201</w:t>
            </w:r>
            <w:r w:rsidR="008357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F408FB" w:rsidRPr="00F408FB" w:rsidRDefault="00835780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408FB" w:rsidRPr="00F408FB" w:rsidRDefault="00F408FB" w:rsidP="00F408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08FB" w:rsidRPr="00116787" w:rsidRDefault="00F408FB" w:rsidP="00116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За 3 квартал 2014 года поступило </w:t>
      </w:r>
      <w:r w:rsidR="00835780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обращений граждан в области персональных данных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>, из них</w:t>
      </w:r>
      <w:r w:rsidR="00835780">
        <w:rPr>
          <w:rFonts w:ascii="Times New Roman" w:hAnsi="Times New Roman" w:cs="Times New Roman"/>
          <w:sz w:val="28"/>
          <w:szCs w:val="28"/>
          <w:lang w:eastAsia="ar-SA"/>
        </w:rPr>
        <w:t xml:space="preserve"> 7 перенаправлено для рассмотрения по подведомственности,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35780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 xml:space="preserve"> рассмотрено, </w:t>
      </w:r>
      <w:r w:rsidR="00835780">
        <w:rPr>
          <w:rFonts w:ascii="Times New Roman" w:hAnsi="Times New Roman" w:cs="Times New Roman"/>
          <w:sz w:val="28"/>
          <w:szCs w:val="28"/>
          <w:lang w:eastAsia="ar-SA"/>
        </w:rPr>
        <w:t>3 находя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>тся на рассмотрении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D3198B" w:rsidRDefault="00D3198B" w:rsidP="00D319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Две жалобы касались звонков </w:t>
      </w:r>
      <w:r w:rsidR="0044521C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банка и коллекторского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агентств</w:t>
      </w:r>
      <w:r w:rsidR="0044521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«контактным» лицам. В силу того, что обращения не содержали достаточных сведений для рассмотрения, заявителям разъяснены их права как субъектов персональных данных, в том числе право обращения с требованием об уничтожении неправомерно обрабатываемых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самостоятельно либо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по защите прав субъектов персональных данных. </w:t>
      </w:r>
    </w:p>
    <w:p w:rsidR="00116787" w:rsidRDefault="00D3198B" w:rsidP="00D319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 из поступив</w:t>
      </w:r>
      <w:r w:rsidR="00116787">
        <w:rPr>
          <w:rFonts w:ascii="Times New Roman" w:eastAsia="Times New Roman" w:hAnsi="Times New Roman" w:cs="Times New Roman"/>
          <w:sz w:val="28"/>
          <w:szCs w:val="28"/>
          <w:lang w:eastAsia="ar-SA"/>
        </w:rPr>
        <w:t>ших жалоб касалась неправомерного распространения данных о задолженности заявительницы перед микрофинансовой организацией</w:t>
      </w:r>
      <w:proofErr w:type="gramStart"/>
      <w:r w:rsidR="001167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1167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Выявлены признаки нарушения ст. 13.11 КоАП РФ, материалы направлены в органы прокуратуры.</w:t>
      </w:r>
    </w:p>
    <w:p w:rsidR="00116787" w:rsidRDefault="00116787" w:rsidP="00D319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Признаки нарушения указанной статьи выявлены при рассмотрении обращения и в действиях </w:t>
      </w:r>
      <w:r w:rsidR="002F5E7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одного из департаментов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ПКГО (заявителю ошибочно был отправлен документ, содержащий персональные данные иного лица). Материалы рассмотрения обращения также направлены в органы прокуратуры.</w:t>
      </w:r>
    </w:p>
    <w:p w:rsidR="00F408FB" w:rsidRPr="00F408FB" w:rsidRDefault="002F5E7B" w:rsidP="002F5E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Два поступивших обращения</w:t>
      </w:r>
      <w:r w:rsidR="00D3198B" w:rsidRPr="00315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касались размещения персональных данных на сайтах в сети Интернет без согласия на то субъекта персональных данных.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Оба</w:t>
      </w:r>
      <w:r w:rsidR="00D3198B" w:rsidRPr="00315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находятся на рассмотрении.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Кроме того, на рассмотрении находится обращение о нарушении страховой компанией порядка обработки персональных данных заявителя при возмещении ущерба от ДТП. </w:t>
      </w:r>
    </w:p>
    <w:p w:rsidR="00F408FB" w:rsidRDefault="00F408FB" w:rsidP="007E3B34">
      <w:pPr>
        <w:pStyle w:val="a3"/>
      </w:pPr>
    </w:p>
    <w:p w:rsidR="00F408FB" w:rsidRDefault="00F408FB" w:rsidP="007E3B34">
      <w:pPr>
        <w:pStyle w:val="a3"/>
      </w:pPr>
    </w:p>
    <w:p w:rsidR="00F408FB" w:rsidRDefault="00F408FB" w:rsidP="007E3B34">
      <w:pPr>
        <w:pStyle w:val="a3"/>
      </w:pPr>
    </w:p>
    <w:p w:rsidR="00F408FB" w:rsidRDefault="00F408FB" w:rsidP="007E3B34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1E7745" w:rsidRPr="001E7745" w:rsidRDefault="001E7745">
      <w:pPr>
        <w:rPr>
          <w:rFonts w:ascii="Times New Roman" w:hAnsi="Times New Roman" w:cs="Times New Roman"/>
          <w:sz w:val="28"/>
          <w:szCs w:val="28"/>
        </w:rPr>
      </w:pPr>
    </w:p>
    <w:sectPr w:rsidR="001E7745" w:rsidRPr="001E7745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B4193"/>
    <w:rsid w:val="00111FFE"/>
    <w:rsid w:val="00116787"/>
    <w:rsid w:val="0012052D"/>
    <w:rsid w:val="00163CAB"/>
    <w:rsid w:val="001E7745"/>
    <w:rsid w:val="00220851"/>
    <w:rsid w:val="00262C89"/>
    <w:rsid w:val="002E45AE"/>
    <w:rsid w:val="002F5E7B"/>
    <w:rsid w:val="003029D6"/>
    <w:rsid w:val="00347B44"/>
    <w:rsid w:val="0037612F"/>
    <w:rsid w:val="003D5E5B"/>
    <w:rsid w:val="00424A5C"/>
    <w:rsid w:val="004259E6"/>
    <w:rsid w:val="004375E5"/>
    <w:rsid w:val="0044521C"/>
    <w:rsid w:val="005802D2"/>
    <w:rsid w:val="00615570"/>
    <w:rsid w:val="00622498"/>
    <w:rsid w:val="006337E7"/>
    <w:rsid w:val="006E7304"/>
    <w:rsid w:val="00720998"/>
    <w:rsid w:val="007D42BE"/>
    <w:rsid w:val="007E3B34"/>
    <w:rsid w:val="00835780"/>
    <w:rsid w:val="0087283B"/>
    <w:rsid w:val="008D2119"/>
    <w:rsid w:val="008D2FAD"/>
    <w:rsid w:val="00915AB1"/>
    <w:rsid w:val="009278B6"/>
    <w:rsid w:val="00A94F26"/>
    <w:rsid w:val="00B11AC5"/>
    <w:rsid w:val="00B31338"/>
    <w:rsid w:val="00B51F4C"/>
    <w:rsid w:val="00C6485F"/>
    <w:rsid w:val="00C97FF8"/>
    <w:rsid w:val="00D3198B"/>
    <w:rsid w:val="00E527BD"/>
    <w:rsid w:val="00F3502B"/>
    <w:rsid w:val="00F408FB"/>
    <w:rsid w:val="00FC12AD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62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2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M.Smetankina</cp:lastModifiedBy>
  <cp:revision>21</cp:revision>
  <cp:lastPrinted>2014-11-10T04:33:00Z</cp:lastPrinted>
  <dcterms:created xsi:type="dcterms:W3CDTF">2014-11-10T04:34:00Z</dcterms:created>
  <dcterms:modified xsi:type="dcterms:W3CDTF">2015-10-05T10:53:00Z</dcterms:modified>
</cp:coreProperties>
</file>