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82" w:rsidRDefault="00E96C82" w:rsidP="004961A0">
      <w:pPr>
        <w:pStyle w:val="1"/>
        <w:jc w:val="center"/>
        <w:rPr>
          <w:caps w:val="0"/>
        </w:rPr>
      </w:pPr>
      <w:bookmarkStart w:id="0" w:name="_Toc321491942"/>
      <w:r>
        <w:rPr>
          <w:caps w:val="0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  <w:r w:rsidR="007401DA" w:rsidRPr="007401DA">
        <w:rPr>
          <w:caps w:val="0"/>
        </w:rPr>
        <w:t xml:space="preserve"> </w:t>
      </w:r>
      <w:r w:rsidR="007401DA">
        <w:rPr>
          <w:caps w:val="0"/>
        </w:rPr>
        <w:t>в 3 квартале 2013 года</w:t>
      </w:r>
    </w:p>
    <w:p w:rsidR="007401DA" w:rsidRPr="007401DA" w:rsidRDefault="007401DA" w:rsidP="00740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401DA">
        <w:rPr>
          <w:rFonts w:ascii="Times New Roman" w:hAnsi="Times New Roman" w:cs="Times New Roman"/>
          <w:sz w:val="28"/>
          <w:szCs w:val="28"/>
        </w:rPr>
        <w:t>Всего в 1-3 кварталах 2013 года в адрес Управления поступило 77 письменных обращений с жалобами граждан Российской Федерации. Из них рассмотрено 73 о</w:t>
      </w:r>
      <w:r w:rsidRPr="007401DA">
        <w:rPr>
          <w:rFonts w:ascii="Times New Roman" w:hAnsi="Times New Roman" w:cs="Times New Roman"/>
          <w:sz w:val="28"/>
          <w:szCs w:val="28"/>
        </w:rPr>
        <w:t>б</w:t>
      </w:r>
      <w:r w:rsidRPr="007401DA">
        <w:rPr>
          <w:rFonts w:ascii="Times New Roman" w:hAnsi="Times New Roman" w:cs="Times New Roman"/>
          <w:sz w:val="28"/>
          <w:szCs w:val="28"/>
        </w:rPr>
        <w:t>ращения, 4 находятся на рассмотрении. Кроме того даны разъяснения на 49 устных обращений, поступивших как от граждан, так и от представителей операт</w:t>
      </w:r>
      <w:r w:rsidRPr="007401DA">
        <w:rPr>
          <w:rFonts w:ascii="Times New Roman" w:hAnsi="Times New Roman" w:cs="Times New Roman"/>
          <w:sz w:val="28"/>
          <w:szCs w:val="28"/>
        </w:rPr>
        <w:t>о</w:t>
      </w:r>
      <w:r w:rsidRPr="007401DA">
        <w:rPr>
          <w:rFonts w:ascii="Times New Roman" w:hAnsi="Times New Roman" w:cs="Times New Roman"/>
          <w:sz w:val="28"/>
          <w:szCs w:val="28"/>
        </w:rPr>
        <w:t xml:space="preserve">ров связи и других юридических лиц. </w:t>
      </w:r>
    </w:p>
    <w:p w:rsidR="007401DA" w:rsidRDefault="007401DA" w:rsidP="007401DA"/>
    <w:tbl>
      <w:tblPr>
        <w:tblStyle w:val="a5"/>
        <w:tblW w:w="0" w:type="auto"/>
        <w:tblLook w:val="04A0"/>
      </w:tblPr>
      <w:tblGrid>
        <w:gridCol w:w="4361"/>
        <w:gridCol w:w="1843"/>
        <w:gridCol w:w="1701"/>
        <w:gridCol w:w="1666"/>
      </w:tblGrid>
      <w:tr w:rsidR="007401DA" w:rsidTr="007401DA">
        <w:tc>
          <w:tcPr>
            <w:tcW w:w="4361" w:type="dxa"/>
          </w:tcPr>
          <w:p w:rsidR="007401DA" w:rsidRPr="00362B05" w:rsidRDefault="007401DA" w:rsidP="007401DA">
            <w:pPr>
              <w:pStyle w:val="a4"/>
            </w:pPr>
          </w:p>
        </w:tc>
        <w:tc>
          <w:tcPr>
            <w:tcW w:w="5210" w:type="dxa"/>
            <w:gridSpan w:val="3"/>
          </w:tcPr>
          <w:p w:rsidR="007401DA" w:rsidRPr="00362B05" w:rsidRDefault="007401DA" w:rsidP="007401DA">
            <w:pPr>
              <w:pStyle w:val="a4"/>
              <w:rPr>
                <w:b/>
              </w:rPr>
            </w:pPr>
            <w:r w:rsidRPr="00362B05">
              <w:rPr>
                <w:b/>
              </w:rPr>
              <w:t>Количество поступивших жалоб</w:t>
            </w:r>
          </w:p>
        </w:tc>
      </w:tr>
      <w:tr w:rsidR="007401DA" w:rsidTr="007401DA">
        <w:tc>
          <w:tcPr>
            <w:tcW w:w="4361" w:type="dxa"/>
          </w:tcPr>
          <w:p w:rsidR="007401DA" w:rsidRPr="00362B05" w:rsidRDefault="007401DA" w:rsidP="007401DA">
            <w:pPr>
              <w:pStyle w:val="a4"/>
              <w:rPr>
                <w:b/>
              </w:rPr>
            </w:pPr>
            <w:r w:rsidRPr="00362B05">
              <w:rPr>
                <w:b/>
              </w:rPr>
              <w:t>Направления деятельности</w:t>
            </w:r>
          </w:p>
        </w:tc>
        <w:tc>
          <w:tcPr>
            <w:tcW w:w="1843" w:type="dxa"/>
          </w:tcPr>
          <w:p w:rsidR="007401DA" w:rsidRPr="00362B05" w:rsidRDefault="007401DA" w:rsidP="007401DA">
            <w:pPr>
              <w:pStyle w:val="a4"/>
              <w:rPr>
                <w:b/>
              </w:rPr>
            </w:pPr>
            <w:r w:rsidRPr="00362B05">
              <w:rPr>
                <w:b/>
              </w:rPr>
              <w:t>3 кв. 2012</w:t>
            </w:r>
          </w:p>
        </w:tc>
        <w:tc>
          <w:tcPr>
            <w:tcW w:w="1701" w:type="dxa"/>
          </w:tcPr>
          <w:p w:rsidR="007401DA" w:rsidRPr="00362B05" w:rsidRDefault="007401DA" w:rsidP="007401DA">
            <w:pPr>
              <w:pStyle w:val="a4"/>
              <w:rPr>
                <w:b/>
              </w:rPr>
            </w:pPr>
            <w:r w:rsidRPr="00362B05">
              <w:rPr>
                <w:b/>
              </w:rPr>
              <w:t>3 кв. 2013</w:t>
            </w:r>
          </w:p>
        </w:tc>
        <w:tc>
          <w:tcPr>
            <w:tcW w:w="1666" w:type="dxa"/>
          </w:tcPr>
          <w:p w:rsidR="007401DA" w:rsidRPr="00362B05" w:rsidRDefault="007401DA" w:rsidP="007401DA">
            <w:pPr>
              <w:pStyle w:val="a4"/>
              <w:rPr>
                <w:b/>
              </w:rPr>
            </w:pPr>
            <w:r w:rsidRPr="00362B05">
              <w:rPr>
                <w:b/>
              </w:rPr>
              <w:t>9 мес. 2013</w:t>
            </w:r>
          </w:p>
        </w:tc>
      </w:tr>
      <w:tr w:rsidR="007401DA" w:rsidTr="007401DA">
        <w:tc>
          <w:tcPr>
            <w:tcW w:w="4361" w:type="dxa"/>
          </w:tcPr>
          <w:p w:rsidR="007401DA" w:rsidRPr="00362B05" w:rsidRDefault="007401DA" w:rsidP="007401DA">
            <w:pPr>
              <w:pStyle w:val="a4"/>
            </w:pPr>
            <w:r w:rsidRPr="00362B05">
              <w:t>СМИ</w:t>
            </w:r>
          </w:p>
        </w:tc>
        <w:tc>
          <w:tcPr>
            <w:tcW w:w="1843" w:type="dxa"/>
          </w:tcPr>
          <w:p w:rsidR="007401DA" w:rsidRPr="00362B05" w:rsidRDefault="007401DA" w:rsidP="007401DA">
            <w:pPr>
              <w:pStyle w:val="a4"/>
            </w:pPr>
            <w:r w:rsidRPr="00362B05">
              <w:t>2</w:t>
            </w:r>
          </w:p>
        </w:tc>
        <w:tc>
          <w:tcPr>
            <w:tcW w:w="1701" w:type="dxa"/>
          </w:tcPr>
          <w:p w:rsidR="007401DA" w:rsidRPr="00362B05" w:rsidRDefault="007401DA" w:rsidP="007401DA">
            <w:pPr>
              <w:pStyle w:val="a4"/>
            </w:pPr>
            <w:r w:rsidRPr="00362B05">
              <w:t>2</w:t>
            </w:r>
          </w:p>
        </w:tc>
        <w:tc>
          <w:tcPr>
            <w:tcW w:w="1666" w:type="dxa"/>
          </w:tcPr>
          <w:p w:rsidR="007401DA" w:rsidRPr="00362B05" w:rsidRDefault="007401DA" w:rsidP="007401DA">
            <w:pPr>
              <w:pStyle w:val="a4"/>
            </w:pPr>
            <w:r w:rsidRPr="00362B05">
              <w:t>7</w:t>
            </w:r>
          </w:p>
        </w:tc>
      </w:tr>
      <w:tr w:rsidR="007401DA" w:rsidTr="007401DA">
        <w:tc>
          <w:tcPr>
            <w:tcW w:w="4361" w:type="dxa"/>
          </w:tcPr>
          <w:p w:rsidR="007401DA" w:rsidRPr="00362B05" w:rsidRDefault="007401DA" w:rsidP="007401DA">
            <w:pPr>
              <w:pStyle w:val="a4"/>
            </w:pPr>
            <w:r w:rsidRPr="00362B05">
              <w:t>Связь</w:t>
            </w:r>
          </w:p>
        </w:tc>
        <w:tc>
          <w:tcPr>
            <w:tcW w:w="1843" w:type="dxa"/>
          </w:tcPr>
          <w:p w:rsidR="007401DA" w:rsidRPr="00362B05" w:rsidRDefault="007401DA" w:rsidP="007401DA">
            <w:pPr>
              <w:pStyle w:val="a4"/>
            </w:pPr>
            <w:r w:rsidRPr="00362B05">
              <w:t>8</w:t>
            </w:r>
          </w:p>
        </w:tc>
        <w:tc>
          <w:tcPr>
            <w:tcW w:w="1701" w:type="dxa"/>
          </w:tcPr>
          <w:p w:rsidR="007401DA" w:rsidRPr="00362B05" w:rsidRDefault="007401DA" w:rsidP="007401DA">
            <w:pPr>
              <w:pStyle w:val="a4"/>
            </w:pPr>
            <w:r w:rsidRPr="00362B05">
              <w:t>17</w:t>
            </w:r>
          </w:p>
        </w:tc>
        <w:tc>
          <w:tcPr>
            <w:tcW w:w="1666" w:type="dxa"/>
          </w:tcPr>
          <w:p w:rsidR="007401DA" w:rsidRPr="00362B05" w:rsidRDefault="007401DA" w:rsidP="007401DA">
            <w:pPr>
              <w:pStyle w:val="a4"/>
            </w:pPr>
            <w:r w:rsidRPr="00362B05">
              <w:t>66</w:t>
            </w:r>
          </w:p>
        </w:tc>
      </w:tr>
      <w:tr w:rsidR="007401DA" w:rsidTr="007401DA">
        <w:tc>
          <w:tcPr>
            <w:tcW w:w="4361" w:type="dxa"/>
          </w:tcPr>
          <w:p w:rsidR="007401DA" w:rsidRPr="00362B05" w:rsidRDefault="007401DA" w:rsidP="007401DA">
            <w:pPr>
              <w:pStyle w:val="a4"/>
            </w:pPr>
            <w:r w:rsidRPr="00362B05">
              <w:t>Персональные данные</w:t>
            </w:r>
          </w:p>
        </w:tc>
        <w:tc>
          <w:tcPr>
            <w:tcW w:w="1843" w:type="dxa"/>
          </w:tcPr>
          <w:p w:rsidR="007401DA" w:rsidRPr="00362B05" w:rsidRDefault="007401DA" w:rsidP="007401DA">
            <w:pPr>
              <w:pStyle w:val="a4"/>
            </w:pPr>
            <w:r w:rsidRPr="00362B05">
              <w:t>1</w:t>
            </w:r>
          </w:p>
        </w:tc>
        <w:tc>
          <w:tcPr>
            <w:tcW w:w="1701" w:type="dxa"/>
          </w:tcPr>
          <w:p w:rsidR="007401DA" w:rsidRPr="00362B05" w:rsidRDefault="007401DA" w:rsidP="007401DA">
            <w:pPr>
              <w:pStyle w:val="a4"/>
            </w:pPr>
            <w:r w:rsidRPr="00362B05">
              <w:t>0</w:t>
            </w:r>
          </w:p>
        </w:tc>
        <w:tc>
          <w:tcPr>
            <w:tcW w:w="1666" w:type="dxa"/>
          </w:tcPr>
          <w:p w:rsidR="007401DA" w:rsidRPr="00362B05" w:rsidRDefault="007401DA" w:rsidP="007401DA">
            <w:pPr>
              <w:pStyle w:val="a4"/>
            </w:pPr>
            <w:r w:rsidRPr="00362B05">
              <w:t>4</w:t>
            </w:r>
          </w:p>
        </w:tc>
      </w:tr>
    </w:tbl>
    <w:p w:rsidR="007401DA" w:rsidRPr="007401DA" w:rsidRDefault="007401DA" w:rsidP="007401DA">
      <w:pPr>
        <w:pStyle w:val="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329357337"/>
      <w:r w:rsidRPr="007401DA">
        <w:rPr>
          <w:rFonts w:ascii="Times New Roman" w:hAnsi="Times New Roman" w:cs="Times New Roman"/>
          <w:color w:val="auto"/>
          <w:sz w:val="28"/>
          <w:szCs w:val="28"/>
        </w:rPr>
        <w:t>Работа с обращениями в сфере СМИ</w:t>
      </w:r>
      <w:bookmarkEnd w:id="1"/>
    </w:p>
    <w:p w:rsidR="007401DA" w:rsidRPr="007401DA" w:rsidRDefault="007401DA" w:rsidP="00740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401DA">
        <w:rPr>
          <w:rFonts w:ascii="Times New Roman" w:hAnsi="Times New Roman" w:cs="Times New Roman"/>
          <w:sz w:val="28"/>
          <w:szCs w:val="28"/>
        </w:rPr>
        <w:t>В отчетном периоде было рассмотрено одно обращение гражданина о деятел</w:t>
      </w:r>
      <w:r w:rsidRPr="007401DA">
        <w:rPr>
          <w:rFonts w:ascii="Times New Roman" w:hAnsi="Times New Roman" w:cs="Times New Roman"/>
          <w:sz w:val="28"/>
          <w:szCs w:val="28"/>
        </w:rPr>
        <w:t>ь</w:t>
      </w:r>
      <w:r w:rsidRPr="007401DA">
        <w:rPr>
          <w:rFonts w:ascii="Times New Roman" w:hAnsi="Times New Roman" w:cs="Times New Roman"/>
          <w:sz w:val="28"/>
          <w:szCs w:val="28"/>
        </w:rPr>
        <w:t>ности средств массовой информации. Гражданину даны разъяснения законодател</w:t>
      </w:r>
      <w:r w:rsidRPr="007401DA">
        <w:rPr>
          <w:rFonts w:ascii="Times New Roman" w:hAnsi="Times New Roman" w:cs="Times New Roman"/>
          <w:sz w:val="28"/>
          <w:szCs w:val="28"/>
        </w:rPr>
        <w:t>ь</w:t>
      </w:r>
      <w:r w:rsidRPr="007401DA">
        <w:rPr>
          <w:rFonts w:ascii="Times New Roman" w:hAnsi="Times New Roman" w:cs="Times New Roman"/>
          <w:sz w:val="28"/>
          <w:szCs w:val="28"/>
        </w:rPr>
        <w:t>ства Российской Федерации в сфере массовой и</w:t>
      </w:r>
      <w:r w:rsidRPr="007401DA">
        <w:rPr>
          <w:rFonts w:ascii="Times New Roman" w:hAnsi="Times New Roman" w:cs="Times New Roman"/>
          <w:sz w:val="28"/>
          <w:szCs w:val="28"/>
        </w:rPr>
        <w:t>н</w:t>
      </w:r>
      <w:r w:rsidRPr="007401DA">
        <w:rPr>
          <w:rFonts w:ascii="Times New Roman" w:hAnsi="Times New Roman" w:cs="Times New Roman"/>
          <w:sz w:val="28"/>
          <w:szCs w:val="28"/>
        </w:rPr>
        <w:t>формации. Обращение гражданина по вопросу трансляции передач телеканалом «</w:t>
      </w:r>
      <w:r w:rsidRPr="007401DA">
        <w:rPr>
          <w:rFonts w:ascii="Times New Roman" w:hAnsi="Times New Roman" w:cs="Times New Roman"/>
          <w:sz w:val="28"/>
          <w:szCs w:val="28"/>
          <w:lang w:val="en-US"/>
        </w:rPr>
        <w:t>TLC</w:t>
      </w:r>
      <w:r w:rsidRPr="007401DA">
        <w:rPr>
          <w:rFonts w:ascii="Times New Roman" w:hAnsi="Times New Roman" w:cs="Times New Roman"/>
          <w:sz w:val="28"/>
          <w:szCs w:val="28"/>
        </w:rPr>
        <w:t>» находится на ра</w:t>
      </w:r>
      <w:r w:rsidRPr="007401DA">
        <w:rPr>
          <w:rFonts w:ascii="Times New Roman" w:hAnsi="Times New Roman" w:cs="Times New Roman"/>
          <w:sz w:val="28"/>
          <w:szCs w:val="28"/>
        </w:rPr>
        <w:t>с</w:t>
      </w:r>
      <w:r w:rsidRPr="007401DA">
        <w:rPr>
          <w:rFonts w:ascii="Times New Roman" w:hAnsi="Times New Roman" w:cs="Times New Roman"/>
          <w:sz w:val="28"/>
          <w:szCs w:val="28"/>
        </w:rPr>
        <w:t>смотрении.</w:t>
      </w:r>
    </w:p>
    <w:p w:rsidR="007401DA" w:rsidRPr="007401DA" w:rsidRDefault="007401DA" w:rsidP="007401DA">
      <w:pPr>
        <w:pStyle w:val="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329357338"/>
      <w:r w:rsidRPr="007401DA">
        <w:rPr>
          <w:rFonts w:ascii="Times New Roman" w:hAnsi="Times New Roman" w:cs="Times New Roman"/>
          <w:color w:val="auto"/>
          <w:sz w:val="28"/>
          <w:szCs w:val="28"/>
        </w:rPr>
        <w:t>Работа с обращениями граждан в сфере связи</w:t>
      </w:r>
      <w:bookmarkEnd w:id="2"/>
    </w:p>
    <w:p w:rsidR="007401DA" w:rsidRPr="007401DA" w:rsidRDefault="007401DA" w:rsidP="007401DA">
      <w:pPr>
        <w:rPr>
          <w:rFonts w:ascii="Times New Roman" w:hAnsi="Times New Roman" w:cs="Times New Roman"/>
          <w:sz w:val="28"/>
          <w:szCs w:val="28"/>
        </w:rPr>
      </w:pPr>
      <w:r w:rsidRPr="007401DA">
        <w:rPr>
          <w:rFonts w:ascii="Times New Roman" w:hAnsi="Times New Roman" w:cs="Times New Roman"/>
          <w:sz w:val="28"/>
          <w:szCs w:val="28"/>
        </w:rPr>
        <w:t>Список лиц, действия которых обжаловались:</w:t>
      </w:r>
    </w:p>
    <w:tbl>
      <w:tblPr>
        <w:tblStyle w:val="a5"/>
        <w:tblW w:w="0" w:type="auto"/>
        <w:tblLook w:val="04A0"/>
      </w:tblPr>
      <w:tblGrid>
        <w:gridCol w:w="6383"/>
        <w:gridCol w:w="955"/>
        <w:gridCol w:w="1266"/>
        <w:gridCol w:w="967"/>
      </w:tblGrid>
      <w:tr w:rsidR="007401DA" w:rsidRPr="007F1141" w:rsidTr="007401DA">
        <w:trPr>
          <w:cantSplit/>
          <w:trHeight w:val="300"/>
          <w:tblHeader/>
        </w:trPr>
        <w:tc>
          <w:tcPr>
            <w:tcW w:w="6383" w:type="dxa"/>
            <w:noWrap/>
            <w:hideMark/>
          </w:tcPr>
          <w:p w:rsidR="007401DA" w:rsidRDefault="007401DA" w:rsidP="007401DA">
            <w:pPr>
              <w:pStyle w:val="a4"/>
            </w:pPr>
            <w:r w:rsidRPr="004B2A80">
              <w:t xml:space="preserve">Наименование лица, </w:t>
            </w:r>
            <w:proofErr w:type="gramStart"/>
            <w:r w:rsidRPr="004B2A80">
              <w:t>действия</w:t>
            </w:r>
            <w:proofErr w:type="gramEnd"/>
            <w:r w:rsidRPr="004B2A80">
              <w:t xml:space="preserve"> которого обжалуются</w:t>
            </w:r>
          </w:p>
        </w:tc>
        <w:tc>
          <w:tcPr>
            <w:tcW w:w="955" w:type="dxa"/>
            <w:noWrap/>
            <w:hideMark/>
          </w:tcPr>
          <w:p w:rsidR="007401DA" w:rsidRDefault="007401DA" w:rsidP="007401DA">
            <w:pPr>
              <w:pStyle w:val="-"/>
            </w:pPr>
            <w:r>
              <w:t>9 мес. 2012 г.</w:t>
            </w:r>
          </w:p>
        </w:tc>
        <w:tc>
          <w:tcPr>
            <w:tcW w:w="1266" w:type="dxa"/>
          </w:tcPr>
          <w:p w:rsidR="007401DA" w:rsidRDefault="007401DA" w:rsidP="007401DA">
            <w:pPr>
              <w:pStyle w:val="-"/>
            </w:pPr>
            <w:r>
              <w:t>9 мес. 2013 г.</w:t>
            </w:r>
          </w:p>
        </w:tc>
        <w:tc>
          <w:tcPr>
            <w:tcW w:w="967" w:type="dxa"/>
          </w:tcPr>
          <w:p w:rsidR="007401DA" w:rsidRDefault="007401DA" w:rsidP="007401DA">
            <w:pPr>
              <w:pStyle w:val="-"/>
            </w:pPr>
            <w:r>
              <w:t>3 кв. 2013 г.</w:t>
            </w:r>
          </w:p>
        </w:tc>
      </w:tr>
      <w:tr w:rsidR="007401DA" w:rsidRPr="007F1141" w:rsidTr="007401DA">
        <w:trPr>
          <w:cantSplit/>
          <w:trHeight w:val="300"/>
        </w:trPr>
        <w:tc>
          <w:tcPr>
            <w:tcW w:w="6383" w:type="dxa"/>
            <w:noWrap/>
            <w:vAlign w:val="bottom"/>
            <w:hideMark/>
          </w:tcPr>
          <w:p w:rsidR="007401DA" w:rsidRPr="007F43DC" w:rsidRDefault="007401DA" w:rsidP="007401DA">
            <w:pPr>
              <w:pStyle w:val="a4"/>
            </w:pPr>
            <w:r w:rsidRPr="007F43DC">
              <w:rPr>
                <w:color w:val="000000"/>
              </w:rPr>
              <w:t>ОАО «Вымпел-Коммуникации»</w:t>
            </w:r>
          </w:p>
        </w:tc>
        <w:tc>
          <w:tcPr>
            <w:tcW w:w="955" w:type="dxa"/>
            <w:noWrap/>
            <w:vAlign w:val="center"/>
            <w:hideMark/>
          </w:tcPr>
          <w:p w:rsidR="007401DA" w:rsidRPr="007F43DC" w:rsidRDefault="007401DA" w:rsidP="007401DA">
            <w:pPr>
              <w:pStyle w:val="-"/>
            </w:pPr>
            <w:r w:rsidRPr="007F43DC">
              <w:rPr>
                <w:color w:val="000000"/>
              </w:rPr>
              <w:t>2</w:t>
            </w:r>
          </w:p>
        </w:tc>
        <w:tc>
          <w:tcPr>
            <w:tcW w:w="1266" w:type="dxa"/>
            <w:vAlign w:val="center"/>
          </w:tcPr>
          <w:p w:rsidR="007401DA" w:rsidRPr="007F43DC" w:rsidRDefault="007401DA" w:rsidP="007401DA">
            <w:pPr>
              <w:pStyle w:val="-"/>
              <w:rPr>
                <w:color w:val="000000"/>
              </w:rPr>
            </w:pPr>
            <w:r w:rsidRPr="007F43DC">
              <w:rPr>
                <w:color w:val="000000"/>
              </w:rPr>
              <w:t>3</w:t>
            </w:r>
          </w:p>
        </w:tc>
        <w:tc>
          <w:tcPr>
            <w:tcW w:w="967" w:type="dxa"/>
            <w:vAlign w:val="center"/>
          </w:tcPr>
          <w:p w:rsidR="007401DA" w:rsidRPr="007F43DC" w:rsidRDefault="007401DA" w:rsidP="007401DA">
            <w:pPr>
              <w:pStyle w:val="-"/>
              <w:rPr>
                <w:color w:val="000000"/>
              </w:rPr>
            </w:pPr>
            <w:r w:rsidRPr="007F43DC">
              <w:rPr>
                <w:color w:val="000000"/>
              </w:rPr>
              <w:t>1</w:t>
            </w:r>
          </w:p>
        </w:tc>
      </w:tr>
      <w:tr w:rsidR="007401DA" w:rsidRPr="007F1141" w:rsidTr="007401DA">
        <w:trPr>
          <w:cantSplit/>
          <w:trHeight w:val="300"/>
        </w:trPr>
        <w:tc>
          <w:tcPr>
            <w:tcW w:w="6383" w:type="dxa"/>
            <w:noWrap/>
            <w:vAlign w:val="bottom"/>
            <w:hideMark/>
          </w:tcPr>
          <w:p w:rsidR="007401DA" w:rsidRPr="007F43DC" w:rsidRDefault="007401DA" w:rsidP="007401DA">
            <w:pPr>
              <w:pStyle w:val="a4"/>
            </w:pPr>
            <w:r w:rsidRPr="007F43DC">
              <w:rPr>
                <w:color w:val="000000"/>
              </w:rPr>
              <w:t>ОАО «Ростелеком»</w:t>
            </w:r>
          </w:p>
        </w:tc>
        <w:tc>
          <w:tcPr>
            <w:tcW w:w="955" w:type="dxa"/>
            <w:noWrap/>
            <w:vAlign w:val="center"/>
            <w:hideMark/>
          </w:tcPr>
          <w:p w:rsidR="007401DA" w:rsidRPr="007F43DC" w:rsidRDefault="007401DA" w:rsidP="007401DA">
            <w:pPr>
              <w:pStyle w:val="-"/>
            </w:pPr>
            <w:r w:rsidRPr="007F43DC">
              <w:rPr>
                <w:color w:val="000000"/>
              </w:rPr>
              <w:t>6</w:t>
            </w:r>
          </w:p>
        </w:tc>
        <w:tc>
          <w:tcPr>
            <w:tcW w:w="1266" w:type="dxa"/>
            <w:vAlign w:val="center"/>
          </w:tcPr>
          <w:p w:rsidR="007401DA" w:rsidRPr="007F43DC" w:rsidRDefault="007401DA" w:rsidP="007401DA">
            <w:pPr>
              <w:pStyle w:val="-"/>
              <w:rPr>
                <w:color w:val="000000"/>
              </w:rPr>
            </w:pPr>
            <w:r w:rsidRPr="007F43DC">
              <w:rPr>
                <w:color w:val="000000"/>
              </w:rPr>
              <w:t>5</w:t>
            </w:r>
          </w:p>
        </w:tc>
        <w:tc>
          <w:tcPr>
            <w:tcW w:w="967" w:type="dxa"/>
            <w:vAlign w:val="center"/>
          </w:tcPr>
          <w:p w:rsidR="007401DA" w:rsidRPr="007F43DC" w:rsidRDefault="007401DA" w:rsidP="007401DA">
            <w:pPr>
              <w:pStyle w:val="-"/>
              <w:rPr>
                <w:color w:val="000000"/>
              </w:rPr>
            </w:pPr>
            <w:r w:rsidRPr="007F43DC">
              <w:rPr>
                <w:color w:val="000000"/>
              </w:rPr>
              <w:t>4</w:t>
            </w:r>
          </w:p>
        </w:tc>
      </w:tr>
      <w:tr w:rsidR="007401DA" w:rsidRPr="007F1141" w:rsidTr="007401DA">
        <w:trPr>
          <w:cantSplit/>
          <w:trHeight w:val="300"/>
        </w:trPr>
        <w:tc>
          <w:tcPr>
            <w:tcW w:w="6383" w:type="dxa"/>
            <w:noWrap/>
            <w:vAlign w:val="bottom"/>
            <w:hideMark/>
          </w:tcPr>
          <w:p w:rsidR="007401DA" w:rsidRPr="007F43DC" w:rsidRDefault="007401DA" w:rsidP="007401DA">
            <w:pPr>
              <w:pStyle w:val="a4"/>
            </w:pPr>
            <w:r w:rsidRPr="007F43DC">
              <w:rPr>
                <w:color w:val="000000"/>
              </w:rPr>
              <w:t>ОАО «МегаФон»</w:t>
            </w:r>
          </w:p>
        </w:tc>
        <w:tc>
          <w:tcPr>
            <w:tcW w:w="955" w:type="dxa"/>
            <w:noWrap/>
            <w:vAlign w:val="center"/>
            <w:hideMark/>
          </w:tcPr>
          <w:p w:rsidR="007401DA" w:rsidRPr="007F43DC" w:rsidRDefault="007401DA" w:rsidP="007401DA">
            <w:pPr>
              <w:pStyle w:val="-"/>
            </w:pPr>
            <w:r w:rsidRPr="007F43DC">
              <w:rPr>
                <w:color w:val="000000"/>
              </w:rPr>
              <w:t>1</w:t>
            </w:r>
          </w:p>
        </w:tc>
        <w:tc>
          <w:tcPr>
            <w:tcW w:w="1266" w:type="dxa"/>
            <w:vAlign w:val="center"/>
          </w:tcPr>
          <w:p w:rsidR="007401DA" w:rsidRPr="007F43DC" w:rsidRDefault="007401DA" w:rsidP="007401DA">
            <w:pPr>
              <w:pStyle w:val="-"/>
              <w:rPr>
                <w:color w:val="000000"/>
              </w:rPr>
            </w:pPr>
            <w:r w:rsidRPr="007F43DC">
              <w:rPr>
                <w:color w:val="000000"/>
              </w:rPr>
              <w:t>4</w:t>
            </w:r>
          </w:p>
        </w:tc>
        <w:tc>
          <w:tcPr>
            <w:tcW w:w="967" w:type="dxa"/>
            <w:vAlign w:val="center"/>
          </w:tcPr>
          <w:p w:rsidR="007401DA" w:rsidRPr="007F43DC" w:rsidRDefault="007401DA" w:rsidP="007401DA">
            <w:pPr>
              <w:pStyle w:val="-"/>
              <w:rPr>
                <w:color w:val="000000"/>
              </w:rPr>
            </w:pPr>
            <w:r w:rsidRPr="007F43DC">
              <w:rPr>
                <w:color w:val="000000"/>
              </w:rPr>
              <w:t>1</w:t>
            </w:r>
          </w:p>
        </w:tc>
      </w:tr>
      <w:tr w:rsidR="007401DA" w:rsidRPr="007F1141" w:rsidTr="007401DA">
        <w:trPr>
          <w:cantSplit/>
          <w:trHeight w:val="300"/>
        </w:trPr>
        <w:tc>
          <w:tcPr>
            <w:tcW w:w="6383" w:type="dxa"/>
            <w:noWrap/>
            <w:vAlign w:val="bottom"/>
            <w:hideMark/>
          </w:tcPr>
          <w:p w:rsidR="007401DA" w:rsidRPr="007F43DC" w:rsidDel="00321E54" w:rsidRDefault="007401DA" w:rsidP="007401DA">
            <w:pPr>
              <w:pStyle w:val="a4"/>
            </w:pPr>
            <w:r w:rsidRPr="007F43DC">
              <w:rPr>
                <w:color w:val="000000"/>
              </w:rPr>
              <w:t>ООО «Камтелеком»</w:t>
            </w:r>
          </w:p>
        </w:tc>
        <w:tc>
          <w:tcPr>
            <w:tcW w:w="955" w:type="dxa"/>
            <w:noWrap/>
            <w:vAlign w:val="center"/>
            <w:hideMark/>
          </w:tcPr>
          <w:p w:rsidR="007401DA" w:rsidRPr="007F43DC" w:rsidDel="00321E54" w:rsidRDefault="007401DA" w:rsidP="007401DA">
            <w:pPr>
              <w:pStyle w:val="-"/>
            </w:pPr>
            <w:r w:rsidRPr="007F43DC">
              <w:rPr>
                <w:color w:val="000000"/>
              </w:rPr>
              <w:t>2</w:t>
            </w:r>
          </w:p>
        </w:tc>
        <w:tc>
          <w:tcPr>
            <w:tcW w:w="1266" w:type="dxa"/>
            <w:vAlign w:val="center"/>
          </w:tcPr>
          <w:p w:rsidR="007401DA" w:rsidRPr="007F43DC" w:rsidRDefault="007401DA" w:rsidP="007401DA">
            <w:pPr>
              <w:pStyle w:val="-"/>
              <w:rPr>
                <w:color w:val="000000"/>
              </w:rPr>
            </w:pPr>
            <w:r w:rsidRPr="007F43DC">
              <w:rPr>
                <w:color w:val="000000"/>
              </w:rPr>
              <w:t>0</w:t>
            </w:r>
          </w:p>
        </w:tc>
        <w:tc>
          <w:tcPr>
            <w:tcW w:w="967" w:type="dxa"/>
            <w:vAlign w:val="center"/>
          </w:tcPr>
          <w:p w:rsidR="007401DA" w:rsidRPr="007F43DC" w:rsidRDefault="007401DA" w:rsidP="007401DA">
            <w:pPr>
              <w:pStyle w:val="-"/>
              <w:rPr>
                <w:color w:val="000000"/>
              </w:rPr>
            </w:pPr>
            <w:r w:rsidRPr="007F43DC">
              <w:rPr>
                <w:color w:val="000000"/>
              </w:rPr>
              <w:t>0</w:t>
            </w:r>
          </w:p>
        </w:tc>
      </w:tr>
      <w:tr w:rsidR="007401DA" w:rsidRPr="007F1141" w:rsidTr="007401DA">
        <w:trPr>
          <w:cantSplit/>
          <w:trHeight w:val="300"/>
        </w:trPr>
        <w:tc>
          <w:tcPr>
            <w:tcW w:w="6383" w:type="dxa"/>
            <w:noWrap/>
            <w:vAlign w:val="bottom"/>
            <w:hideMark/>
          </w:tcPr>
          <w:p w:rsidR="007401DA" w:rsidRPr="007F43DC" w:rsidDel="00321E54" w:rsidRDefault="007401DA" w:rsidP="007401DA">
            <w:pPr>
              <w:pStyle w:val="a4"/>
            </w:pPr>
            <w:r w:rsidRPr="007F43DC">
              <w:rPr>
                <w:color w:val="000000"/>
              </w:rPr>
              <w:t>ФГУП «Почта России»</w:t>
            </w:r>
          </w:p>
        </w:tc>
        <w:tc>
          <w:tcPr>
            <w:tcW w:w="955" w:type="dxa"/>
            <w:noWrap/>
            <w:vAlign w:val="center"/>
            <w:hideMark/>
          </w:tcPr>
          <w:p w:rsidR="007401DA" w:rsidRPr="007F43DC" w:rsidDel="00321E54" w:rsidRDefault="007401DA" w:rsidP="007401DA">
            <w:pPr>
              <w:pStyle w:val="-"/>
            </w:pPr>
            <w:r w:rsidRPr="007F43DC">
              <w:rPr>
                <w:color w:val="000000"/>
              </w:rPr>
              <w:t>22</w:t>
            </w:r>
          </w:p>
        </w:tc>
        <w:tc>
          <w:tcPr>
            <w:tcW w:w="1266" w:type="dxa"/>
            <w:vAlign w:val="center"/>
          </w:tcPr>
          <w:p w:rsidR="007401DA" w:rsidRPr="007F43DC" w:rsidRDefault="007401DA" w:rsidP="007401DA">
            <w:pPr>
              <w:pStyle w:val="-"/>
              <w:rPr>
                <w:color w:val="000000"/>
              </w:rPr>
            </w:pPr>
            <w:r w:rsidRPr="007F43DC">
              <w:rPr>
                <w:color w:val="000000"/>
              </w:rPr>
              <w:t>41</w:t>
            </w:r>
          </w:p>
        </w:tc>
        <w:tc>
          <w:tcPr>
            <w:tcW w:w="967" w:type="dxa"/>
            <w:vAlign w:val="center"/>
          </w:tcPr>
          <w:p w:rsidR="007401DA" w:rsidRPr="007F43DC" w:rsidRDefault="007401DA" w:rsidP="007401DA">
            <w:pPr>
              <w:pStyle w:val="-"/>
              <w:rPr>
                <w:color w:val="000000"/>
              </w:rPr>
            </w:pPr>
            <w:r w:rsidRPr="007F43DC">
              <w:rPr>
                <w:color w:val="000000"/>
              </w:rPr>
              <w:t>6</w:t>
            </w:r>
          </w:p>
        </w:tc>
      </w:tr>
      <w:tr w:rsidR="007401DA" w:rsidRPr="007F1141" w:rsidTr="007401DA">
        <w:trPr>
          <w:cantSplit/>
          <w:trHeight w:val="300"/>
        </w:trPr>
        <w:tc>
          <w:tcPr>
            <w:tcW w:w="6383" w:type="dxa"/>
            <w:noWrap/>
            <w:vAlign w:val="bottom"/>
            <w:hideMark/>
          </w:tcPr>
          <w:p w:rsidR="007401DA" w:rsidRPr="007F43DC" w:rsidDel="00321E54" w:rsidRDefault="007401DA" w:rsidP="007401DA">
            <w:pPr>
              <w:pStyle w:val="a4"/>
            </w:pPr>
            <w:r w:rsidRPr="007F43DC">
              <w:rPr>
                <w:color w:val="000000"/>
              </w:rPr>
              <w:t>ОАО «МТС»</w:t>
            </w:r>
          </w:p>
        </w:tc>
        <w:tc>
          <w:tcPr>
            <w:tcW w:w="955" w:type="dxa"/>
            <w:noWrap/>
            <w:vAlign w:val="center"/>
            <w:hideMark/>
          </w:tcPr>
          <w:p w:rsidR="007401DA" w:rsidRPr="007F43DC" w:rsidDel="00321E54" w:rsidRDefault="007401DA" w:rsidP="007401DA">
            <w:pPr>
              <w:pStyle w:val="-"/>
            </w:pPr>
            <w:r w:rsidRPr="007F43DC">
              <w:rPr>
                <w:color w:val="000000"/>
              </w:rPr>
              <w:t>1</w:t>
            </w:r>
          </w:p>
        </w:tc>
        <w:tc>
          <w:tcPr>
            <w:tcW w:w="1266" w:type="dxa"/>
            <w:vAlign w:val="center"/>
          </w:tcPr>
          <w:p w:rsidR="007401DA" w:rsidRPr="007F43DC" w:rsidRDefault="007401DA" w:rsidP="007401DA">
            <w:pPr>
              <w:pStyle w:val="-"/>
              <w:rPr>
                <w:color w:val="000000"/>
              </w:rPr>
            </w:pPr>
            <w:r w:rsidRPr="007F43DC">
              <w:rPr>
                <w:color w:val="000000"/>
              </w:rPr>
              <w:t>4</w:t>
            </w:r>
          </w:p>
        </w:tc>
        <w:tc>
          <w:tcPr>
            <w:tcW w:w="967" w:type="dxa"/>
            <w:vAlign w:val="center"/>
          </w:tcPr>
          <w:p w:rsidR="007401DA" w:rsidRPr="007F43DC" w:rsidRDefault="007401DA" w:rsidP="007401DA">
            <w:pPr>
              <w:pStyle w:val="-"/>
              <w:rPr>
                <w:color w:val="000000"/>
              </w:rPr>
            </w:pPr>
            <w:r w:rsidRPr="007F43DC">
              <w:rPr>
                <w:color w:val="000000"/>
              </w:rPr>
              <w:t>1</w:t>
            </w:r>
          </w:p>
        </w:tc>
      </w:tr>
      <w:tr w:rsidR="007401DA" w:rsidRPr="007F1141" w:rsidTr="007401DA">
        <w:trPr>
          <w:cantSplit/>
          <w:trHeight w:val="300"/>
        </w:trPr>
        <w:tc>
          <w:tcPr>
            <w:tcW w:w="6383" w:type="dxa"/>
            <w:noWrap/>
            <w:vAlign w:val="bottom"/>
            <w:hideMark/>
          </w:tcPr>
          <w:p w:rsidR="007401DA" w:rsidRPr="007F43DC" w:rsidRDefault="007401DA" w:rsidP="007401DA">
            <w:pPr>
              <w:pStyle w:val="a4"/>
              <w:rPr>
                <w:color w:val="000000"/>
              </w:rPr>
            </w:pPr>
            <w:r w:rsidRPr="007F43DC">
              <w:rPr>
                <w:color w:val="000000"/>
              </w:rPr>
              <w:t>ООО "Системы и технологии электронных коммуникаций"</w:t>
            </w:r>
          </w:p>
        </w:tc>
        <w:tc>
          <w:tcPr>
            <w:tcW w:w="955" w:type="dxa"/>
            <w:noWrap/>
            <w:vAlign w:val="center"/>
            <w:hideMark/>
          </w:tcPr>
          <w:p w:rsidR="007401DA" w:rsidRPr="007F43DC" w:rsidRDefault="007401DA" w:rsidP="007401DA">
            <w:pPr>
              <w:pStyle w:val="-"/>
              <w:rPr>
                <w:color w:val="000000"/>
              </w:rPr>
            </w:pPr>
            <w:r w:rsidRPr="007F43DC">
              <w:rPr>
                <w:color w:val="000000"/>
              </w:rPr>
              <w:t>0</w:t>
            </w:r>
          </w:p>
        </w:tc>
        <w:tc>
          <w:tcPr>
            <w:tcW w:w="1266" w:type="dxa"/>
            <w:vAlign w:val="center"/>
          </w:tcPr>
          <w:p w:rsidR="007401DA" w:rsidRPr="007F43DC" w:rsidRDefault="007401DA" w:rsidP="007401DA">
            <w:pPr>
              <w:pStyle w:val="-"/>
              <w:rPr>
                <w:color w:val="000000"/>
              </w:rPr>
            </w:pPr>
            <w:r w:rsidRPr="007F43DC">
              <w:rPr>
                <w:color w:val="000000"/>
              </w:rPr>
              <w:t>1</w:t>
            </w:r>
          </w:p>
        </w:tc>
        <w:tc>
          <w:tcPr>
            <w:tcW w:w="967" w:type="dxa"/>
            <w:vAlign w:val="center"/>
          </w:tcPr>
          <w:p w:rsidR="007401DA" w:rsidRPr="007F43DC" w:rsidRDefault="007401DA" w:rsidP="007401DA">
            <w:pPr>
              <w:pStyle w:val="-"/>
              <w:rPr>
                <w:color w:val="000000"/>
              </w:rPr>
            </w:pPr>
            <w:r w:rsidRPr="007F43DC">
              <w:rPr>
                <w:color w:val="000000"/>
              </w:rPr>
              <w:t>0</w:t>
            </w:r>
          </w:p>
        </w:tc>
      </w:tr>
      <w:tr w:rsidR="007401DA" w:rsidRPr="007F1141" w:rsidTr="007401DA">
        <w:trPr>
          <w:cantSplit/>
          <w:trHeight w:val="300"/>
        </w:trPr>
        <w:tc>
          <w:tcPr>
            <w:tcW w:w="6383" w:type="dxa"/>
            <w:noWrap/>
            <w:vAlign w:val="bottom"/>
            <w:hideMark/>
          </w:tcPr>
          <w:p w:rsidR="007401DA" w:rsidRPr="007F43DC" w:rsidRDefault="007401DA" w:rsidP="007401DA">
            <w:pPr>
              <w:pStyle w:val="a4"/>
              <w:rPr>
                <w:color w:val="000000"/>
              </w:rPr>
            </w:pPr>
            <w:r w:rsidRPr="007F43DC">
              <w:rPr>
                <w:color w:val="000000"/>
              </w:rPr>
              <w:t>ООО "Современное Камчатское Телевидение плюс"</w:t>
            </w:r>
          </w:p>
        </w:tc>
        <w:tc>
          <w:tcPr>
            <w:tcW w:w="955" w:type="dxa"/>
            <w:noWrap/>
            <w:vAlign w:val="center"/>
            <w:hideMark/>
          </w:tcPr>
          <w:p w:rsidR="007401DA" w:rsidRPr="007F43DC" w:rsidRDefault="007401DA" w:rsidP="007401DA">
            <w:pPr>
              <w:pStyle w:val="-"/>
              <w:rPr>
                <w:color w:val="000000"/>
              </w:rPr>
            </w:pPr>
            <w:r w:rsidRPr="007F43DC">
              <w:rPr>
                <w:color w:val="000000"/>
              </w:rPr>
              <w:t>0</w:t>
            </w:r>
          </w:p>
        </w:tc>
        <w:tc>
          <w:tcPr>
            <w:tcW w:w="1266" w:type="dxa"/>
            <w:vAlign w:val="center"/>
          </w:tcPr>
          <w:p w:rsidR="007401DA" w:rsidRPr="007F43DC" w:rsidRDefault="007401DA" w:rsidP="007401DA">
            <w:pPr>
              <w:pStyle w:val="-"/>
              <w:rPr>
                <w:color w:val="000000"/>
              </w:rPr>
            </w:pPr>
            <w:r w:rsidRPr="007F43DC">
              <w:rPr>
                <w:color w:val="000000"/>
              </w:rPr>
              <w:t>1</w:t>
            </w:r>
          </w:p>
        </w:tc>
        <w:tc>
          <w:tcPr>
            <w:tcW w:w="967" w:type="dxa"/>
            <w:vAlign w:val="center"/>
          </w:tcPr>
          <w:p w:rsidR="007401DA" w:rsidRPr="007F43DC" w:rsidRDefault="007401DA" w:rsidP="007401DA">
            <w:pPr>
              <w:pStyle w:val="-"/>
              <w:rPr>
                <w:color w:val="000000"/>
              </w:rPr>
            </w:pPr>
            <w:r w:rsidRPr="007F43DC">
              <w:rPr>
                <w:color w:val="000000"/>
              </w:rPr>
              <w:t>0</w:t>
            </w:r>
          </w:p>
        </w:tc>
      </w:tr>
      <w:tr w:rsidR="007401DA" w:rsidRPr="007F1141" w:rsidTr="007401DA">
        <w:trPr>
          <w:cantSplit/>
          <w:trHeight w:val="300"/>
        </w:trPr>
        <w:tc>
          <w:tcPr>
            <w:tcW w:w="6383" w:type="dxa"/>
            <w:noWrap/>
            <w:vAlign w:val="bottom"/>
            <w:hideMark/>
          </w:tcPr>
          <w:p w:rsidR="007401DA" w:rsidRPr="007F43DC" w:rsidRDefault="007401DA" w:rsidP="007401DA">
            <w:pPr>
              <w:pStyle w:val="a4"/>
              <w:rPr>
                <w:color w:val="000000"/>
              </w:rPr>
            </w:pPr>
            <w:r w:rsidRPr="007F43DC">
              <w:rPr>
                <w:color w:val="000000"/>
              </w:rPr>
              <w:t>ООО «ИнтерКамСервис»</w:t>
            </w:r>
          </w:p>
        </w:tc>
        <w:tc>
          <w:tcPr>
            <w:tcW w:w="955" w:type="dxa"/>
            <w:noWrap/>
            <w:vAlign w:val="center"/>
            <w:hideMark/>
          </w:tcPr>
          <w:p w:rsidR="007401DA" w:rsidRPr="007F43DC" w:rsidRDefault="007401DA" w:rsidP="007401DA">
            <w:pPr>
              <w:pStyle w:val="-"/>
              <w:rPr>
                <w:color w:val="000000"/>
              </w:rPr>
            </w:pPr>
            <w:r w:rsidRPr="007F43DC">
              <w:rPr>
                <w:color w:val="000000"/>
              </w:rPr>
              <w:t>0</w:t>
            </w:r>
          </w:p>
        </w:tc>
        <w:tc>
          <w:tcPr>
            <w:tcW w:w="1266" w:type="dxa"/>
            <w:vAlign w:val="center"/>
          </w:tcPr>
          <w:p w:rsidR="007401DA" w:rsidRPr="007F43DC" w:rsidRDefault="007401DA" w:rsidP="007401DA">
            <w:pPr>
              <w:pStyle w:val="-"/>
              <w:rPr>
                <w:color w:val="000000"/>
              </w:rPr>
            </w:pPr>
            <w:r w:rsidRPr="007F43DC">
              <w:rPr>
                <w:color w:val="000000"/>
              </w:rPr>
              <w:t>1</w:t>
            </w:r>
          </w:p>
        </w:tc>
        <w:tc>
          <w:tcPr>
            <w:tcW w:w="967" w:type="dxa"/>
            <w:vAlign w:val="center"/>
          </w:tcPr>
          <w:p w:rsidR="007401DA" w:rsidRPr="007F43DC" w:rsidRDefault="007401DA" w:rsidP="007401DA">
            <w:pPr>
              <w:pStyle w:val="-"/>
              <w:rPr>
                <w:color w:val="000000"/>
              </w:rPr>
            </w:pPr>
            <w:r w:rsidRPr="007F43DC">
              <w:rPr>
                <w:color w:val="000000"/>
              </w:rPr>
              <w:t>0</w:t>
            </w:r>
          </w:p>
        </w:tc>
      </w:tr>
      <w:tr w:rsidR="007401DA" w:rsidRPr="007F1141" w:rsidTr="007401DA">
        <w:trPr>
          <w:cantSplit/>
          <w:trHeight w:val="300"/>
        </w:trPr>
        <w:tc>
          <w:tcPr>
            <w:tcW w:w="6383" w:type="dxa"/>
            <w:noWrap/>
            <w:vAlign w:val="bottom"/>
            <w:hideMark/>
          </w:tcPr>
          <w:p w:rsidR="007401DA" w:rsidRPr="007F43DC" w:rsidDel="00321E54" w:rsidRDefault="007401DA" w:rsidP="007401DA">
            <w:pPr>
              <w:pStyle w:val="a4"/>
            </w:pPr>
            <w:r w:rsidRPr="007F43DC">
              <w:rPr>
                <w:color w:val="000000"/>
              </w:rPr>
              <w:t>В обращении не определено</w:t>
            </w:r>
          </w:p>
        </w:tc>
        <w:tc>
          <w:tcPr>
            <w:tcW w:w="955" w:type="dxa"/>
            <w:noWrap/>
            <w:vAlign w:val="center"/>
            <w:hideMark/>
          </w:tcPr>
          <w:p w:rsidR="007401DA" w:rsidRPr="007F43DC" w:rsidDel="00321E54" w:rsidRDefault="007401DA" w:rsidP="007401DA">
            <w:pPr>
              <w:pStyle w:val="-"/>
            </w:pPr>
            <w:r w:rsidRPr="007F43DC">
              <w:rPr>
                <w:color w:val="000000"/>
              </w:rPr>
              <w:t>1</w:t>
            </w:r>
          </w:p>
        </w:tc>
        <w:tc>
          <w:tcPr>
            <w:tcW w:w="1266" w:type="dxa"/>
            <w:vAlign w:val="center"/>
          </w:tcPr>
          <w:p w:rsidR="007401DA" w:rsidRPr="007F43DC" w:rsidRDefault="007401DA" w:rsidP="007401DA">
            <w:pPr>
              <w:pStyle w:val="-"/>
              <w:rPr>
                <w:color w:val="000000"/>
              </w:rPr>
            </w:pPr>
            <w:r w:rsidRPr="007F43DC">
              <w:rPr>
                <w:color w:val="000000"/>
              </w:rPr>
              <w:t>6</w:t>
            </w:r>
          </w:p>
        </w:tc>
        <w:tc>
          <w:tcPr>
            <w:tcW w:w="967" w:type="dxa"/>
            <w:vAlign w:val="center"/>
          </w:tcPr>
          <w:p w:rsidR="007401DA" w:rsidRPr="007F43DC" w:rsidRDefault="007401DA" w:rsidP="007401DA">
            <w:pPr>
              <w:pStyle w:val="-"/>
              <w:rPr>
                <w:color w:val="000000"/>
              </w:rPr>
            </w:pPr>
            <w:r w:rsidRPr="007F43DC">
              <w:rPr>
                <w:color w:val="000000"/>
              </w:rPr>
              <w:t>2</w:t>
            </w:r>
          </w:p>
        </w:tc>
      </w:tr>
      <w:tr w:rsidR="007401DA" w:rsidRPr="007F1141" w:rsidTr="007401DA">
        <w:trPr>
          <w:cantSplit/>
          <w:trHeight w:val="300"/>
        </w:trPr>
        <w:tc>
          <w:tcPr>
            <w:tcW w:w="6383" w:type="dxa"/>
            <w:noWrap/>
            <w:hideMark/>
          </w:tcPr>
          <w:p w:rsidR="007401DA" w:rsidRPr="007F43DC" w:rsidRDefault="007401DA" w:rsidP="007401DA">
            <w:pPr>
              <w:pStyle w:val="a4"/>
              <w:jc w:val="right"/>
              <w:rPr>
                <w:b/>
              </w:rPr>
            </w:pPr>
            <w:r w:rsidRPr="007F43DC">
              <w:rPr>
                <w:b/>
              </w:rPr>
              <w:t>Общий итог</w:t>
            </w:r>
          </w:p>
        </w:tc>
        <w:tc>
          <w:tcPr>
            <w:tcW w:w="955" w:type="dxa"/>
            <w:noWrap/>
            <w:vAlign w:val="center"/>
            <w:hideMark/>
          </w:tcPr>
          <w:p w:rsidR="007401DA" w:rsidRPr="007F43DC" w:rsidRDefault="007401DA" w:rsidP="007401DA">
            <w:pPr>
              <w:pStyle w:val="-"/>
              <w:rPr>
                <w:b w:val="0"/>
              </w:rPr>
            </w:pPr>
            <w:r w:rsidRPr="007F43DC">
              <w:t>35</w:t>
            </w:r>
          </w:p>
        </w:tc>
        <w:tc>
          <w:tcPr>
            <w:tcW w:w="1266" w:type="dxa"/>
            <w:vAlign w:val="center"/>
          </w:tcPr>
          <w:p w:rsidR="007401DA" w:rsidRPr="007F43DC" w:rsidRDefault="007401DA" w:rsidP="007401DA">
            <w:pPr>
              <w:pStyle w:val="-"/>
              <w:rPr>
                <w:b w:val="0"/>
              </w:rPr>
            </w:pPr>
            <w:r w:rsidRPr="007F43DC">
              <w:t>66</w:t>
            </w:r>
          </w:p>
        </w:tc>
        <w:tc>
          <w:tcPr>
            <w:tcW w:w="967" w:type="dxa"/>
            <w:vAlign w:val="center"/>
          </w:tcPr>
          <w:p w:rsidR="007401DA" w:rsidRPr="007F43DC" w:rsidRDefault="007401DA" w:rsidP="007401DA">
            <w:pPr>
              <w:pStyle w:val="-"/>
              <w:rPr>
                <w:b w:val="0"/>
              </w:rPr>
            </w:pPr>
            <w:r w:rsidRPr="007F43DC">
              <w:t>17</w:t>
            </w:r>
          </w:p>
        </w:tc>
      </w:tr>
    </w:tbl>
    <w:p w:rsidR="007401DA" w:rsidRDefault="007401DA" w:rsidP="007401DA">
      <w:pPr>
        <w:pStyle w:val="a0"/>
      </w:pPr>
    </w:p>
    <w:p w:rsidR="007401DA" w:rsidRPr="007401DA" w:rsidRDefault="007401DA" w:rsidP="007401DA">
      <w:pPr>
        <w:rPr>
          <w:rFonts w:ascii="Times New Roman" w:hAnsi="Times New Roman" w:cs="Times New Roman"/>
          <w:sz w:val="28"/>
          <w:szCs w:val="28"/>
        </w:rPr>
      </w:pPr>
      <w:r w:rsidRPr="007401DA">
        <w:rPr>
          <w:rFonts w:ascii="Times New Roman" w:hAnsi="Times New Roman" w:cs="Times New Roman"/>
          <w:sz w:val="28"/>
          <w:szCs w:val="28"/>
        </w:rPr>
        <w:t>Итоги рассмотрения обращений граждан:</w:t>
      </w:r>
    </w:p>
    <w:tbl>
      <w:tblPr>
        <w:tblStyle w:val="a5"/>
        <w:tblW w:w="9571" w:type="dxa"/>
        <w:tblLook w:val="04A0"/>
      </w:tblPr>
      <w:tblGrid>
        <w:gridCol w:w="2376"/>
        <w:gridCol w:w="2694"/>
        <w:gridCol w:w="1842"/>
        <w:gridCol w:w="1560"/>
        <w:gridCol w:w="1099"/>
      </w:tblGrid>
      <w:tr w:rsidR="007401DA" w:rsidRPr="00D36695" w:rsidTr="007401DA">
        <w:trPr>
          <w:trHeight w:val="300"/>
        </w:trPr>
        <w:tc>
          <w:tcPr>
            <w:tcW w:w="2376" w:type="dxa"/>
            <w:noWrap/>
            <w:vAlign w:val="center"/>
            <w:hideMark/>
          </w:tcPr>
          <w:p w:rsidR="007401DA" w:rsidRDefault="007401DA" w:rsidP="007401DA">
            <w:pPr>
              <w:pStyle w:val="-"/>
            </w:pPr>
            <w:r>
              <w:t xml:space="preserve">Проведение </w:t>
            </w:r>
            <w:proofErr w:type="gramStart"/>
            <w:r>
              <w:t>внеплановой</w:t>
            </w:r>
            <w:proofErr w:type="gramEnd"/>
            <w:r>
              <w:t xml:space="preserve"> проверки</w:t>
            </w:r>
          </w:p>
        </w:tc>
        <w:tc>
          <w:tcPr>
            <w:tcW w:w="2694" w:type="dxa"/>
            <w:noWrap/>
            <w:vAlign w:val="center"/>
            <w:hideMark/>
          </w:tcPr>
          <w:p w:rsidR="007401DA" w:rsidRDefault="007401DA" w:rsidP="007401DA">
            <w:pPr>
              <w:pStyle w:val="-"/>
            </w:pPr>
            <w:r w:rsidRPr="00D36695">
              <w:t>Итог</w:t>
            </w:r>
            <w:r>
              <w:t xml:space="preserve"> рассмотрения обращения</w:t>
            </w:r>
          </w:p>
        </w:tc>
        <w:tc>
          <w:tcPr>
            <w:tcW w:w="1842" w:type="dxa"/>
            <w:noWrap/>
            <w:vAlign w:val="center"/>
            <w:hideMark/>
          </w:tcPr>
          <w:p w:rsidR="00F75F15" w:rsidRDefault="00F75F15" w:rsidP="007401DA">
            <w:pPr>
              <w:pStyle w:val="-"/>
            </w:pPr>
          </w:p>
          <w:p w:rsidR="007401DA" w:rsidRDefault="007401DA" w:rsidP="007401DA">
            <w:pPr>
              <w:pStyle w:val="-"/>
            </w:pPr>
            <w:r>
              <w:t>2012</w:t>
            </w:r>
          </w:p>
        </w:tc>
        <w:tc>
          <w:tcPr>
            <w:tcW w:w="1560" w:type="dxa"/>
          </w:tcPr>
          <w:p w:rsidR="007401DA" w:rsidRDefault="007401DA" w:rsidP="007401DA">
            <w:pPr>
              <w:pStyle w:val="-"/>
            </w:pPr>
          </w:p>
          <w:p w:rsidR="007401DA" w:rsidRDefault="007401DA" w:rsidP="007401DA">
            <w:pPr>
              <w:pStyle w:val="-"/>
            </w:pPr>
            <w:r>
              <w:t>2013</w:t>
            </w:r>
          </w:p>
        </w:tc>
        <w:tc>
          <w:tcPr>
            <w:tcW w:w="1099" w:type="dxa"/>
          </w:tcPr>
          <w:p w:rsidR="007401DA" w:rsidRDefault="007401DA" w:rsidP="007401DA">
            <w:pPr>
              <w:pStyle w:val="-"/>
            </w:pPr>
          </w:p>
          <w:p w:rsidR="007401DA" w:rsidRDefault="007401DA" w:rsidP="007401DA">
            <w:pPr>
              <w:pStyle w:val="-"/>
            </w:pPr>
            <w:r>
              <w:t>3 кв</w:t>
            </w:r>
          </w:p>
        </w:tc>
      </w:tr>
      <w:tr w:rsidR="007401DA" w:rsidRPr="00D36695" w:rsidTr="007401DA">
        <w:trPr>
          <w:trHeight w:val="300"/>
        </w:trPr>
        <w:tc>
          <w:tcPr>
            <w:tcW w:w="2376" w:type="dxa"/>
            <w:vMerge w:val="restart"/>
            <w:noWrap/>
            <w:hideMark/>
          </w:tcPr>
          <w:p w:rsidR="007401DA" w:rsidRPr="007F43DC" w:rsidRDefault="007401DA" w:rsidP="007401DA">
            <w:pPr>
              <w:pStyle w:val="a4"/>
            </w:pPr>
            <w:r w:rsidRPr="007F43DC">
              <w:t>проведена</w:t>
            </w:r>
          </w:p>
          <w:p w:rsidR="007401DA" w:rsidRPr="007F43DC" w:rsidRDefault="007401DA" w:rsidP="007401DA">
            <w:pPr>
              <w:pStyle w:val="a4"/>
            </w:pPr>
            <w:r w:rsidRPr="007F43DC">
              <w:t> </w:t>
            </w:r>
          </w:p>
          <w:p w:rsidR="007401DA" w:rsidRPr="007F43DC" w:rsidRDefault="007401DA" w:rsidP="007401DA">
            <w:pPr>
              <w:pStyle w:val="a4"/>
            </w:pPr>
            <w:r w:rsidRPr="007F43DC">
              <w:t> </w:t>
            </w:r>
          </w:p>
        </w:tc>
        <w:tc>
          <w:tcPr>
            <w:tcW w:w="2694" w:type="dxa"/>
            <w:noWrap/>
            <w:hideMark/>
          </w:tcPr>
          <w:p w:rsidR="007401DA" w:rsidRPr="007F43DC" w:rsidRDefault="007401DA" w:rsidP="007401DA">
            <w:pPr>
              <w:pStyle w:val="a4"/>
            </w:pPr>
            <w:r w:rsidRPr="007F43DC">
              <w:t>меры приняты</w:t>
            </w:r>
          </w:p>
        </w:tc>
        <w:tc>
          <w:tcPr>
            <w:tcW w:w="1842" w:type="dxa"/>
            <w:noWrap/>
            <w:vAlign w:val="bottom"/>
            <w:hideMark/>
          </w:tcPr>
          <w:p w:rsidR="007401DA" w:rsidRPr="007F43DC" w:rsidRDefault="007401DA" w:rsidP="007401DA">
            <w:pPr>
              <w:pStyle w:val="a4"/>
            </w:pPr>
            <w:r w:rsidRPr="007F43DC">
              <w:rPr>
                <w:color w:val="000000"/>
              </w:rPr>
              <w:t>7</w:t>
            </w:r>
          </w:p>
        </w:tc>
        <w:tc>
          <w:tcPr>
            <w:tcW w:w="1560" w:type="dxa"/>
          </w:tcPr>
          <w:p w:rsidR="007401DA" w:rsidRPr="007F43DC" w:rsidRDefault="007401DA" w:rsidP="007401DA">
            <w:pPr>
              <w:pStyle w:val="a4"/>
              <w:rPr>
                <w:color w:val="000000"/>
              </w:rPr>
            </w:pPr>
            <w:r w:rsidRPr="007F43DC">
              <w:rPr>
                <w:color w:val="000000"/>
              </w:rPr>
              <w:t>17</w:t>
            </w:r>
          </w:p>
        </w:tc>
        <w:tc>
          <w:tcPr>
            <w:tcW w:w="1099" w:type="dxa"/>
          </w:tcPr>
          <w:p w:rsidR="007401DA" w:rsidRPr="007F43DC" w:rsidRDefault="007401DA" w:rsidP="007401DA">
            <w:pPr>
              <w:pStyle w:val="a4"/>
              <w:rPr>
                <w:color w:val="000000"/>
              </w:rPr>
            </w:pPr>
            <w:r w:rsidRPr="007F43DC">
              <w:rPr>
                <w:color w:val="000000"/>
              </w:rPr>
              <w:t>0</w:t>
            </w:r>
          </w:p>
        </w:tc>
      </w:tr>
      <w:tr w:rsidR="007401DA" w:rsidRPr="00D36695" w:rsidTr="007401DA">
        <w:trPr>
          <w:trHeight w:val="300"/>
        </w:trPr>
        <w:tc>
          <w:tcPr>
            <w:tcW w:w="2376" w:type="dxa"/>
            <w:vMerge/>
            <w:noWrap/>
            <w:hideMark/>
          </w:tcPr>
          <w:p w:rsidR="007401DA" w:rsidRPr="007F43DC" w:rsidDel="00772CA6" w:rsidRDefault="007401DA" w:rsidP="007401DA">
            <w:pPr>
              <w:pStyle w:val="a4"/>
            </w:pPr>
          </w:p>
        </w:tc>
        <w:tc>
          <w:tcPr>
            <w:tcW w:w="2694" w:type="dxa"/>
            <w:noWrap/>
            <w:hideMark/>
          </w:tcPr>
          <w:p w:rsidR="007401DA" w:rsidRPr="007F43DC" w:rsidRDefault="007401DA" w:rsidP="007401DA">
            <w:pPr>
              <w:pStyle w:val="a4"/>
            </w:pPr>
            <w:r w:rsidRPr="007F43DC">
              <w:t>на рассмотрении</w:t>
            </w:r>
          </w:p>
        </w:tc>
        <w:tc>
          <w:tcPr>
            <w:tcW w:w="1842" w:type="dxa"/>
            <w:noWrap/>
            <w:vAlign w:val="bottom"/>
            <w:hideMark/>
          </w:tcPr>
          <w:p w:rsidR="007401DA" w:rsidRPr="007F43DC" w:rsidRDefault="007401DA" w:rsidP="007401DA">
            <w:pPr>
              <w:pStyle w:val="a4"/>
            </w:pPr>
            <w:r w:rsidRPr="007F43DC">
              <w:rPr>
                <w:color w:val="000000"/>
              </w:rPr>
              <w:t>2</w:t>
            </w:r>
          </w:p>
        </w:tc>
        <w:tc>
          <w:tcPr>
            <w:tcW w:w="1560" w:type="dxa"/>
          </w:tcPr>
          <w:p w:rsidR="007401DA" w:rsidRPr="007F43DC" w:rsidRDefault="007401DA" w:rsidP="007401DA">
            <w:pPr>
              <w:pStyle w:val="a4"/>
              <w:rPr>
                <w:color w:val="000000"/>
              </w:rPr>
            </w:pPr>
            <w:r w:rsidRPr="007F43DC">
              <w:rPr>
                <w:color w:val="000000"/>
              </w:rPr>
              <w:t>0</w:t>
            </w:r>
          </w:p>
        </w:tc>
        <w:tc>
          <w:tcPr>
            <w:tcW w:w="1099" w:type="dxa"/>
          </w:tcPr>
          <w:p w:rsidR="007401DA" w:rsidRPr="007F43DC" w:rsidRDefault="007401DA" w:rsidP="007401DA">
            <w:pPr>
              <w:pStyle w:val="a4"/>
              <w:rPr>
                <w:color w:val="000000"/>
              </w:rPr>
            </w:pPr>
            <w:r w:rsidRPr="007F43DC">
              <w:rPr>
                <w:color w:val="000000"/>
              </w:rPr>
              <w:t>0</w:t>
            </w:r>
          </w:p>
        </w:tc>
      </w:tr>
      <w:tr w:rsidR="007401DA" w:rsidRPr="00D36695" w:rsidTr="007401DA">
        <w:trPr>
          <w:trHeight w:val="300"/>
        </w:trPr>
        <w:tc>
          <w:tcPr>
            <w:tcW w:w="2376" w:type="dxa"/>
            <w:vMerge/>
            <w:noWrap/>
            <w:hideMark/>
          </w:tcPr>
          <w:p w:rsidR="007401DA" w:rsidRPr="007F43DC" w:rsidRDefault="007401DA" w:rsidP="007401DA">
            <w:pPr>
              <w:pStyle w:val="a4"/>
            </w:pPr>
          </w:p>
        </w:tc>
        <w:tc>
          <w:tcPr>
            <w:tcW w:w="2694" w:type="dxa"/>
            <w:noWrap/>
            <w:hideMark/>
          </w:tcPr>
          <w:p w:rsidR="007401DA" w:rsidRPr="007F43DC" w:rsidRDefault="007401DA" w:rsidP="007401DA">
            <w:pPr>
              <w:pStyle w:val="a4"/>
            </w:pPr>
            <w:r w:rsidRPr="007F43DC">
              <w:t>разъяснено</w:t>
            </w:r>
          </w:p>
        </w:tc>
        <w:tc>
          <w:tcPr>
            <w:tcW w:w="1842" w:type="dxa"/>
            <w:noWrap/>
            <w:vAlign w:val="bottom"/>
            <w:hideMark/>
          </w:tcPr>
          <w:p w:rsidR="007401DA" w:rsidRPr="007F43DC" w:rsidRDefault="007401DA" w:rsidP="007401DA">
            <w:pPr>
              <w:pStyle w:val="a4"/>
            </w:pPr>
            <w:r w:rsidRPr="007F43DC">
              <w:rPr>
                <w:color w:val="000000"/>
              </w:rPr>
              <w:t>1</w:t>
            </w:r>
          </w:p>
        </w:tc>
        <w:tc>
          <w:tcPr>
            <w:tcW w:w="1560" w:type="dxa"/>
          </w:tcPr>
          <w:p w:rsidR="007401DA" w:rsidRPr="007F43DC" w:rsidRDefault="007401DA" w:rsidP="007401DA">
            <w:pPr>
              <w:pStyle w:val="a4"/>
              <w:rPr>
                <w:color w:val="000000"/>
              </w:rPr>
            </w:pPr>
            <w:r w:rsidRPr="007F43DC">
              <w:rPr>
                <w:color w:val="000000"/>
              </w:rPr>
              <w:t>1</w:t>
            </w:r>
          </w:p>
        </w:tc>
        <w:tc>
          <w:tcPr>
            <w:tcW w:w="1099" w:type="dxa"/>
          </w:tcPr>
          <w:p w:rsidR="007401DA" w:rsidRPr="007F43DC" w:rsidRDefault="007401DA" w:rsidP="007401DA">
            <w:pPr>
              <w:pStyle w:val="a4"/>
              <w:rPr>
                <w:color w:val="000000"/>
              </w:rPr>
            </w:pPr>
            <w:r w:rsidRPr="007F43DC">
              <w:rPr>
                <w:color w:val="000000"/>
              </w:rPr>
              <w:t>0</w:t>
            </w:r>
          </w:p>
        </w:tc>
      </w:tr>
      <w:tr w:rsidR="007401DA" w:rsidRPr="00D36695" w:rsidTr="007401DA">
        <w:trPr>
          <w:trHeight w:val="300"/>
        </w:trPr>
        <w:tc>
          <w:tcPr>
            <w:tcW w:w="2376" w:type="dxa"/>
            <w:vMerge/>
            <w:noWrap/>
            <w:hideMark/>
          </w:tcPr>
          <w:p w:rsidR="007401DA" w:rsidRPr="007F43DC" w:rsidRDefault="007401DA" w:rsidP="007401DA">
            <w:pPr>
              <w:pStyle w:val="a4"/>
            </w:pPr>
          </w:p>
        </w:tc>
        <w:tc>
          <w:tcPr>
            <w:tcW w:w="2694" w:type="dxa"/>
            <w:noWrap/>
            <w:hideMark/>
          </w:tcPr>
          <w:p w:rsidR="007401DA" w:rsidRPr="007F43DC" w:rsidRDefault="007401DA" w:rsidP="007401DA">
            <w:pPr>
              <w:pStyle w:val="a4"/>
            </w:pPr>
            <w:r w:rsidRPr="007F43DC">
              <w:t>решено положительно</w:t>
            </w:r>
          </w:p>
        </w:tc>
        <w:tc>
          <w:tcPr>
            <w:tcW w:w="1842" w:type="dxa"/>
            <w:noWrap/>
            <w:vAlign w:val="bottom"/>
            <w:hideMark/>
          </w:tcPr>
          <w:p w:rsidR="007401DA" w:rsidRPr="007F43DC" w:rsidRDefault="007401DA" w:rsidP="007401DA">
            <w:pPr>
              <w:pStyle w:val="a4"/>
            </w:pPr>
            <w:r w:rsidRPr="007F43DC">
              <w:rPr>
                <w:color w:val="000000"/>
              </w:rPr>
              <w:t>1</w:t>
            </w:r>
          </w:p>
        </w:tc>
        <w:tc>
          <w:tcPr>
            <w:tcW w:w="1560" w:type="dxa"/>
          </w:tcPr>
          <w:p w:rsidR="007401DA" w:rsidRPr="007F43DC" w:rsidRDefault="007401DA" w:rsidP="007401DA">
            <w:pPr>
              <w:pStyle w:val="a4"/>
              <w:rPr>
                <w:color w:val="000000"/>
              </w:rPr>
            </w:pPr>
            <w:r w:rsidRPr="007F43DC">
              <w:rPr>
                <w:color w:val="000000"/>
              </w:rPr>
              <w:t>0</w:t>
            </w:r>
          </w:p>
        </w:tc>
        <w:tc>
          <w:tcPr>
            <w:tcW w:w="1099" w:type="dxa"/>
          </w:tcPr>
          <w:p w:rsidR="007401DA" w:rsidRPr="007F43DC" w:rsidRDefault="007401DA" w:rsidP="007401DA">
            <w:pPr>
              <w:pStyle w:val="a4"/>
              <w:rPr>
                <w:color w:val="000000"/>
              </w:rPr>
            </w:pPr>
            <w:r w:rsidRPr="007F43DC">
              <w:rPr>
                <w:color w:val="000000"/>
              </w:rPr>
              <w:t>0</w:t>
            </w:r>
          </w:p>
        </w:tc>
      </w:tr>
      <w:tr w:rsidR="007401DA" w:rsidRPr="00D36695" w:rsidTr="007401DA">
        <w:trPr>
          <w:trHeight w:val="300"/>
        </w:trPr>
        <w:tc>
          <w:tcPr>
            <w:tcW w:w="2376" w:type="dxa"/>
            <w:vMerge w:val="restart"/>
            <w:noWrap/>
            <w:hideMark/>
          </w:tcPr>
          <w:p w:rsidR="007401DA" w:rsidRPr="007F43DC" w:rsidRDefault="007401DA" w:rsidP="007401DA">
            <w:pPr>
              <w:pStyle w:val="a4"/>
            </w:pPr>
            <w:r w:rsidRPr="007F43DC">
              <w:t>не проведена</w:t>
            </w:r>
          </w:p>
          <w:p w:rsidR="007401DA" w:rsidRPr="007F43DC" w:rsidRDefault="007401DA" w:rsidP="007401DA">
            <w:pPr>
              <w:pStyle w:val="a4"/>
            </w:pPr>
            <w:r w:rsidRPr="007F43DC">
              <w:t> </w:t>
            </w:r>
          </w:p>
          <w:p w:rsidR="007401DA" w:rsidRPr="007F43DC" w:rsidRDefault="007401DA" w:rsidP="007401DA">
            <w:pPr>
              <w:pStyle w:val="a4"/>
            </w:pPr>
            <w:r w:rsidRPr="007F43DC">
              <w:t> </w:t>
            </w:r>
          </w:p>
          <w:p w:rsidR="007401DA" w:rsidRPr="007F43DC" w:rsidRDefault="007401DA" w:rsidP="007401DA">
            <w:pPr>
              <w:pStyle w:val="a4"/>
            </w:pPr>
            <w:r w:rsidRPr="007F43DC">
              <w:t> </w:t>
            </w:r>
          </w:p>
          <w:p w:rsidR="007401DA" w:rsidRPr="007F43DC" w:rsidRDefault="007401DA" w:rsidP="007401DA">
            <w:pPr>
              <w:pStyle w:val="a4"/>
            </w:pPr>
            <w:r w:rsidRPr="007F43DC">
              <w:t> </w:t>
            </w:r>
          </w:p>
        </w:tc>
        <w:tc>
          <w:tcPr>
            <w:tcW w:w="2694" w:type="dxa"/>
            <w:noWrap/>
            <w:hideMark/>
          </w:tcPr>
          <w:p w:rsidR="007401DA" w:rsidRPr="007F43DC" w:rsidRDefault="007401DA" w:rsidP="007401DA">
            <w:pPr>
              <w:pStyle w:val="a4"/>
            </w:pPr>
            <w:r w:rsidRPr="007F43DC">
              <w:t>меры приняты</w:t>
            </w:r>
          </w:p>
        </w:tc>
        <w:tc>
          <w:tcPr>
            <w:tcW w:w="1842" w:type="dxa"/>
            <w:noWrap/>
            <w:vAlign w:val="bottom"/>
            <w:hideMark/>
          </w:tcPr>
          <w:p w:rsidR="007401DA" w:rsidRPr="007F43DC" w:rsidRDefault="007401DA" w:rsidP="007401DA">
            <w:pPr>
              <w:pStyle w:val="a4"/>
            </w:pPr>
            <w:r w:rsidRPr="007F43DC">
              <w:rPr>
                <w:color w:val="000000"/>
              </w:rPr>
              <w:t>2</w:t>
            </w:r>
          </w:p>
        </w:tc>
        <w:tc>
          <w:tcPr>
            <w:tcW w:w="1560" w:type="dxa"/>
          </w:tcPr>
          <w:p w:rsidR="007401DA" w:rsidRPr="007F43DC" w:rsidRDefault="007401DA" w:rsidP="007401DA">
            <w:pPr>
              <w:pStyle w:val="a4"/>
              <w:rPr>
                <w:color w:val="000000"/>
              </w:rPr>
            </w:pPr>
            <w:r w:rsidRPr="007F43DC">
              <w:rPr>
                <w:color w:val="000000"/>
              </w:rPr>
              <w:t>1</w:t>
            </w:r>
          </w:p>
        </w:tc>
        <w:tc>
          <w:tcPr>
            <w:tcW w:w="1099" w:type="dxa"/>
          </w:tcPr>
          <w:p w:rsidR="007401DA" w:rsidRPr="007F43DC" w:rsidRDefault="007401DA" w:rsidP="007401DA">
            <w:pPr>
              <w:pStyle w:val="a4"/>
              <w:rPr>
                <w:color w:val="000000"/>
              </w:rPr>
            </w:pPr>
            <w:r w:rsidRPr="007F43DC">
              <w:rPr>
                <w:color w:val="000000"/>
              </w:rPr>
              <w:t>0</w:t>
            </w:r>
          </w:p>
        </w:tc>
      </w:tr>
      <w:tr w:rsidR="007401DA" w:rsidRPr="00D36695" w:rsidTr="007401DA">
        <w:trPr>
          <w:trHeight w:val="300"/>
        </w:trPr>
        <w:tc>
          <w:tcPr>
            <w:tcW w:w="2376" w:type="dxa"/>
            <w:vMerge/>
            <w:noWrap/>
            <w:hideMark/>
          </w:tcPr>
          <w:p w:rsidR="007401DA" w:rsidRPr="007F43DC" w:rsidRDefault="007401DA" w:rsidP="007401DA">
            <w:pPr>
              <w:pStyle w:val="a4"/>
            </w:pPr>
          </w:p>
        </w:tc>
        <w:tc>
          <w:tcPr>
            <w:tcW w:w="2694" w:type="dxa"/>
            <w:noWrap/>
            <w:hideMark/>
          </w:tcPr>
          <w:p w:rsidR="007401DA" w:rsidRPr="007F43DC" w:rsidRDefault="007401DA" w:rsidP="007401DA">
            <w:pPr>
              <w:pStyle w:val="a4"/>
            </w:pPr>
            <w:r w:rsidRPr="007F43DC">
              <w:t>на рассмотрении</w:t>
            </w:r>
          </w:p>
        </w:tc>
        <w:tc>
          <w:tcPr>
            <w:tcW w:w="1842" w:type="dxa"/>
            <w:noWrap/>
            <w:vAlign w:val="bottom"/>
            <w:hideMark/>
          </w:tcPr>
          <w:p w:rsidR="007401DA" w:rsidRPr="007F43DC" w:rsidRDefault="007401DA" w:rsidP="007401DA">
            <w:pPr>
              <w:pStyle w:val="a4"/>
            </w:pPr>
            <w:r w:rsidRPr="007F43DC">
              <w:rPr>
                <w:color w:val="000000"/>
              </w:rPr>
              <w:t>4</w:t>
            </w:r>
          </w:p>
        </w:tc>
        <w:tc>
          <w:tcPr>
            <w:tcW w:w="1560" w:type="dxa"/>
          </w:tcPr>
          <w:p w:rsidR="007401DA" w:rsidRPr="007F43DC" w:rsidRDefault="007401DA" w:rsidP="007401DA">
            <w:pPr>
              <w:pStyle w:val="a4"/>
              <w:rPr>
                <w:color w:val="000000"/>
              </w:rPr>
            </w:pPr>
            <w:r w:rsidRPr="007F43DC">
              <w:rPr>
                <w:color w:val="000000"/>
              </w:rPr>
              <w:t>3</w:t>
            </w:r>
          </w:p>
        </w:tc>
        <w:tc>
          <w:tcPr>
            <w:tcW w:w="1099" w:type="dxa"/>
          </w:tcPr>
          <w:p w:rsidR="007401DA" w:rsidRPr="007F43DC" w:rsidRDefault="007401DA" w:rsidP="007401DA">
            <w:pPr>
              <w:pStyle w:val="a4"/>
              <w:rPr>
                <w:color w:val="000000"/>
              </w:rPr>
            </w:pPr>
            <w:r w:rsidRPr="007F43DC">
              <w:rPr>
                <w:color w:val="000000"/>
              </w:rPr>
              <w:t>3</w:t>
            </w:r>
          </w:p>
        </w:tc>
      </w:tr>
      <w:tr w:rsidR="007401DA" w:rsidRPr="00D36695" w:rsidTr="007401DA">
        <w:trPr>
          <w:trHeight w:val="300"/>
        </w:trPr>
        <w:tc>
          <w:tcPr>
            <w:tcW w:w="2376" w:type="dxa"/>
            <w:vMerge/>
            <w:noWrap/>
            <w:hideMark/>
          </w:tcPr>
          <w:p w:rsidR="007401DA" w:rsidRDefault="007401DA" w:rsidP="007401DA">
            <w:pPr>
              <w:pStyle w:val="a4"/>
            </w:pPr>
          </w:p>
        </w:tc>
        <w:tc>
          <w:tcPr>
            <w:tcW w:w="2694" w:type="dxa"/>
            <w:noWrap/>
            <w:hideMark/>
          </w:tcPr>
          <w:p w:rsidR="007401DA" w:rsidRPr="007F43DC" w:rsidRDefault="007401DA" w:rsidP="007401DA">
            <w:pPr>
              <w:pStyle w:val="a4"/>
            </w:pPr>
            <w:r w:rsidRPr="007F43DC">
              <w:t>переадресовано</w:t>
            </w:r>
          </w:p>
        </w:tc>
        <w:tc>
          <w:tcPr>
            <w:tcW w:w="1842" w:type="dxa"/>
            <w:noWrap/>
            <w:vAlign w:val="bottom"/>
            <w:hideMark/>
          </w:tcPr>
          <w:p w:rsidR="007401DA" w:rsidRPr="007F43DC" w:rsidRDefault="007401DA" w:rsidP="007401DA">
            <w:pPr>
              <w:pStyle w:val="a4"/>
            </w:pPr>
            <w:r w:rsidRPr="007F43DC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:rsidR="007401DA" w:rsidRPr="007F43DC" w:rsidRDefault="007401DA" w:rsidP="007401DA">
            <w:pPr>
              <w:pStyle w:val="a4"/>
              <w:rPr>
                <w:color w:val="000000"/>
              </w:rPr>
            </w:pPr>
            <w:r w:rsidRPr="007F43DC">
              <w:rPr>
                <w:color w:val="000000"/>
              </w:rPr>
              <w:t>3</w:t>
            </w:r>
          </w:p>
        </w:tc>
        <w:tc>
          <w:tcPr>
            <w:tcW w:w="1099" w:type="dxa"/>
          </w:tcPr>
          <w:p w:rsidR="007401DA" w:rsidRPr="007F43DC" w:rsidRDefault="007401DA" w:rsidP="007401DA">
            <w:pPr>
              <w:pStyle w:val="a4"/>
              <w:rPr>
                <w:color w:val="000000"/>
              </w:rPr>
            </w:pPr>
            <w:r w:rsidRPr="007F43DC">
              <w:rPr>
                <w:color w:val="000000"/>
              </w:rPr>
              <w:t>0</w:t>
            </w:r>
          </w:p>
        </w:tc>
      </w:tr>
      <w:tr w:rsidR="007401DA" w:rsidRPr="00D36695" w:rsidTr="007401DA">
        <w:trPr>
          <w:trHeight w:val="300"/>
        </w:trPr>
        <w:tc>
          <w:tcPr>
            <w:tcW w:w="2376" w:type="dxa"/>
            <w:vMerge/>
            <w:noWrap/>
            <w:hideMark/>
          </w:tcPr>
          <w:p w:rsidR="007401DA" w:rsidRDefault="007401DA" w:rsidP="007401DA">
            <w:pPr>
              <w:pStyle w:val="a4"/>
            </w:pPr>
          </w:p>
        </w:tc>
        <w:tc>
          <w:tcPr>
            <w:tcW w:w="2694" w:type="dxa"/>
            <w:noWrap/>
            <w:hideMark/>
          </w:tcPr>
          <w:p w:rsidR="007401DA" w:rsidRPr="007F43DC" w:rsidRDefault="007401DA" w:rsidP="007401DA">
            <w:pPr>
              <w:pStyle w:val="a4"/>
            </w:pPr>
            <w:r w:rsidRPr="007F43DC">
              <w:t>разъяснено</w:t>
            </w:r>
          </w:p>
        </w:tc>
        <w:tc>
          <w:tcPr>
            <w:tcW w:w="1842" w:type="dxa"/>
            <w:noWrap/>
            <w:vAlign w:val="bottom"/>
            <w:hideMark/>
          </w:tcPr>
          <w:p w:rsidR="007401DA" w:rsidRPr="007F43DC" w:rsidRDefault="007401DA" w:rsidP="007401DA">
            <w:pPr>
              <w:pStyle w:val="a4"/>
            </w:pPr>
            <w:r w:rsidRPr="007F43DC">
              <w:rPr>
                <w:color w:val="000000"/>
              </w:rPr>
              <w:t>12</w:t>
            </w:r>
          </w:p>
        </w:tc>
        <w:tc>
          <w:tcPr>
            <w:tcW w:w="1560" w:type="dxa"/>
          </w:tcPr>
          <w:p w:rsidR="007401DA" w:rsidRPr="007F43DC" w:rsidRDefault="007401DA" w:rsidP="007401DA">
            <w:pPr>
              <w:pStyle w:val="a4"/>
              <w:rPr>
                <w:color w:val="000000"/>
              </w:rPr>
            </w:pPr>
            <w:r w:rsidRPr="007F43DC">
              <w:rPr>
                <w:color w:val="000000"/>
              </w:rPr>
              <w:t>40</w:t>
            </w:r>
          </w:p>
        </w:tc>
        <w:tc>
          <w:tcPr>
            <w:tcW w:w="1099" w:type="dxa"/>
          </w:tcPr>
          <w:p w:rsidR="007401DA" w:rsidRPr="007F43DC" w:rsidRDefault="007401DA" w:rsidP="007401DA">
            <w:pPr>
              <w:pStyle w:val="a4"/>
              <w:rPr>
                <w:color w:val="000000"/>
              </w:rPr>
            </w:pPr>
            <w:r w:rsidRPr="007F43DC">
              <w:rPr>
                <w:color w:val="000000"/>
              </w:rPr>
              <w:t>13</w:t>
            </w:r>
          </w:p>
        </w:tc>
      </w:tr>
      <w:tr w:rsidR="007401DA" w:rsidRPr="00D36695" w:rsidTr="007401DA">
        <w:trPr>
          <w:trHeight w:val="300"/>
        </w:trPr>
        <w:tc>
          <w:tcPr>
            <w:tcW w:w="2376" w:type="dxa"/>
            <w:vMerge/>
            <w:noWrap/>
            <w:hideMark/>
          </w:tcPr>
          <w:p w:rsidR="007401DA" w:rsidRDefault="007401DA" w:rsidP="007401DA">
            <w:pPr>
              <w:pStyle w:val="a4"/>
            </w:pPr>
          </w:p>
        </w:tc>
        <w:tc>
          <w:tcPr>
            <w:tcW w:w="2694" w:type="dxa"/>
            <w:noWrap/>
            <w:hideMark/>
          </w:tcPr>
          <w:p w:rsidR="007401DA" w:rsidRPr="007F43DC" w:rsidRDefault="007401DA" w:rsidP="007401DA">
            <w:pPr>
              <w:pStyle w:val="a4"/>
            </w:pPr>
            <w:r w:rsidRPr="007F43DC">
              <w:t>решено положительно</w:t>
            </w:r>
          </w:p>
        </w:tc>
        <w:tc>
          <w:tcPr>
            <w:tcW w:w="1842" w:type="dxa"/>
            <w:noWrap/>
            <w:vAlign w:val="bottom"/>
            <w:hideMark/>
          </w:tcPr>
          <w:p w:rsidR="007401DA" w:rsidRPr="007F43DC" w:rsidRDefault="007401DA" w:rsidP="007401DA">
            <w:pPr>
              <w:pStyle w:val="a4"/>
            </w:pPr>
            <w:r w:rsidRPr="007F43DC">
              <w:rPr>
                <w:color w:val="000000"/>
              </w:rPr>
              <w:t>1</w:t>
            </w:r>
          </w:p>
        </w:tc>
        <w:tc>
          <w:tcPr>
            <w:tcW w:w="1560" w:type="dxa"/>
          </w:tcPr>
          <w:p w:rsidR="007401DA" w:rsidRPr="007F43DC" w:rsidRDefault="007401DA" w:rsidP="007401DA">
            <w:pPr>
              <w:pStyle w:val="a4"/>
              <w:rPr>
                <w:color w:val="000000"/>
              </w:rPr>
            </w:pPr>
            <w:r w:rsidRPr="007F43DC">
              <w:rPr>
                <w:color w:val="000000"/>
              </w:rPr>
              <w:t>1</w:t>
            </w:r>
          </w:p>
        </w:tc>
        <w:tc>
          <w:tcPr>
            <w:tcW w:w="1099" w:type="dxa"/>
          </w:tcPr>
          <w:p w:rsidR="007401DA" w:rsidRPr="007F43DC" w:rsidRDefault="007401DA" w:rsidP="007401DA">
            <w:pPr>
              <w:pStyle w:val="a4"/>
              <w:rPr>
                <w:color w:val="000000"/>
              </w:rPr>
            </w:pPr>
            <w:r w:rsidRPr="007F43DC">
              <w:rPr>
                <w:color w:val="000000"/>
              </w:rPr>
              <w:t>1</w:t>
            </w:r>
          </w:p>
        </w:tc>
      </w:tr>
    </w:tbl>
    <w:p w:rsidR="007401DA" w:rsidRDefault="007401DA" w:rsidP="007401DA">
      <w:pPr>
        <w:pStyle w:val="a0"/>
      </w:pPr>
    </w:p>
    <w:p w:rsidR="007401DA" w:rsidRPr="007401DA" w:rsidRDefault="007401DA" w:rsidP="00740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401DA">
        <w:rPr>
          <w:rFonts w:ascii="Times New Roman" w:hAnsi="Times New Roman" w:cs="Times New Roman"/>
          <w:sz w:val="28"/>
          <w:szCs w:val="28"/>
        </w:rPr>
        <w:t>Основная доля обращений, поступивших в отчетный период, связана с неудо</w:t>
      </w:r>
      <w:r w:rsidRPr="007401DA">
        <w:rPr>
          <w:rFonts w:ascii="Times New Roman" w:hAnsi="Times New Roman" w:cs="Times New Roman"/>
          <w:sz w:val="28"/>
          <w:szCs w:val="28"/>
        </w:rPr>
        <w:t>в</w:t>
      </w:r>
      <w:r w:rsidRPr="007401DA">
        <w:rPr>
          <w:rFonts w:ascii="Times New Roman" w:hAnsi="Times New Roman" w:cs="Times New Roman"/>
          <w:sz w:val="28"/>
          <w:szCs w:val="28"/>
        </w:rPr>
        <w:t>летворительной работой ФГУП «Почта России» по пересылке почтовых отправл</w:t>
      </w:r>
      <w:r w:rsidRPr="007401DA">
        <w:rPr>
          <w:rFonts w:ascii="Times New Roman" w:hAnsi="Times New Roman" w:cs="Times New Roman"/>
          <w:sz w:val="28"/>
          <w:szCs w:val="28"/>
        </w:rPr>
        <w:t>е</w:t>
      </w:r>
      <w:r w:rsidRPr="007401DA">
        <w:rPr>
          <w:rFonts w:ascii="Times New Roman" w:hAnsi="Times New Roman" w:cs="Times New Roman"/>
          <w:sz w:val="28"/>
          <w:szCs w:val="28"/>
        </w:rPr>
        <w:t>ний. Кроме того число жалоб на действия данного оператора связи быстро растет. Во всех случаях по результатам проведенных внеплановых проверок факты нар</w:t>
      </w:r>
      <w:r w:rsidRPr="007401DA">
        <w:rPr>
          <w:rFonts w:ascii="Times New Roman" w:hAnsi="Times New Roman" w:cs="Times New Roman"/>
          <w:sz w:val="28"/>
          <w:szCs w:val="28"/>
        </w:rPr>
        <w:t>у</w:t>
      </w:r>
      <w:r w:rsidRPr="007401DA">
        <w:rPr>
          <w:rFonts w:ascii="Times New Roman" w:hAnsi="Times New Roman" w:cs="Times New Roman"/>
          <w:sz w:val="28"/>
          <w:szCs w:val="28"/>
        </w:rPr>
        <w:t>шений подтверждены, а оператор связи привлечен к административной ответстве</w:t>
      </w:r>
      <w:r w:rsidRPr="007401DA">
        <w:rPr>
          <w:rFonts w:ascii="Times New Roman" w:hAnsi="Times New Roman" w:cs="Times New Roman"/>
          <w:sz w:val="28"/>
          <w:szCs w:val="28"/>
        </w:rPr>
        <w:t>н</w:t>
      </w:r>
      <w:r w:rsidRPr="007401DA">
        <w:rPr>
          <w:rFonts w:ascii="Times New Roman" w:hAnsi="Times New Roman" w:cs="Times New Roman"/>
          <w:sz w:val="28"/>
          <w:szCs w:val="28"/>
        </w:rPr>
        <w:t>ности. Кроме жалоб на нарушения контрольных сроков пересылки указанных о</w:t>
      </w:r>
      <w:r w:rsidRPr="007401DA">
        <w:rPr>
          <w:rFonts w:ascii="Times New Roman" w:hAnsi="Times New Roman" w:cs="Times New Roman"/>
          <w:sz w:val="28"/>
          <w:szCs w:val="28"/>
        </w:rPr>
        <w:t>т</w:t>
      </w:r>
      <w:r w:rsidRPr="007401DA">
        <w:rPr>
          <w:rFonts w:ascii="Times New Roman" w:hAnsi="Times New Roman" w:cs="Times New Roman"/>
          <w:sz w:val="28"/>
          <w:szCs w:val="28"/>
        </w:rPr>
        <w:t>правлений, получено большое количество обращений с просьбой разъяснения п</w:t>
      </w:r>
      <w:r w:rsidRPr="007401DA">
        <w:rPr>
          <w:rFonts w:ascii="Times New Roman" w:hAnsi="Times New Roman" w:cs="Times New Roman"/>
          <w:sz w:val="28"/>
          <w:szCs w:val="28"/>
        </w:rPr>
        <w:t>о</w:t>
      </w:r>
      <w:r w:rsidRPr="007401DA">
        <w:rPr>
          <w:rFonts w:ascii="Times New Roman" w:hAnsi="Times New Roman" w:cs="Times New Roman"/>
          <w:sz w:val="28"/>
          <w:szCs w:val="28"/>
        </w:rPr>
        <w:t>рядка поиска отправлений и получения компенсации за их несвоевременную до</w:t>
      </w:r>
      <w:r w:rsidRPr="007401DA">
        <w:rPr>
          <w:rFonts w:ascii="Times New Roman" w:hAnsi="Times New Roman" w:cs="Times New Roman"/>
          <w:sz w:val="28"/>
          <w:szCs w:val="28"/>
        </w:rPr>
        <w:t>с</w:t>
      </w:r>
      <w:r w:rsidRPr="007401DA">
        <w:rPr>
          <w:rFonts w:ascii="Times New Roman" w:hAnsi="Times New Roman" w:cs="Times New Roman"/>
          <w:sz w:val="28"/>
          <w:szCs w:val="28"/>
        </w:rPr>
        <w:t>тавку. Все раз</w:t>
      </w:r>
      <w:r w:rsidRPr="007401DA">
        <w:rPr>
          <w:rFonts w:ascii="Times New Roman" w:hAnsi="Times New Roman" w:cs="Times New Roman"/>
          <w:sz w:val="28"/>
          <w:szCs w:val="28"/>
        </w:rPr>
        <w:t>ъ</w:t>
      </w:r>
      <w:r w:rsidRPr="007401DA">
        <w:rPr>
          <w:rFonts w:ascii="Times New Roman" w:hAnsi="Times New Roman" w:cs="Times New Roman"/>
          <w:sz w:val="28"/>
          <w:szCs w:val="28"/>
        </w:rPr>
        <w:t>яснения даны в полном объеме и в установленный срок.</w:t>
      </w:r>
    </w:p>
    <w:p w:rsidR="007401DA" w:rsidRPr="007401DA" w:rsidRDefault="007401DA" w:rsidP="00740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401DA">
        <w:rPr>
          <w:rFonts w:ascii="Times New Roman" w:hAnsi="Times New Roman" w:cs="Times New Roman"/>
          <w:sz w:val="28"/>
          <w:szCs w:val="28"/>
        </w:rPr>
        <w:t>Так же достаточно большое число обращений обусловлено недовольством пол</w:t>
      </w:r>
      <w:r w:rsidRPr="007401DA">
        <w:rPr>
          <w:rFonts w:ascii="Times New Roman" w:hAnsi="Times New Roman" w:cs="Times New Roman"/>
          <w:sz w:val="28"/>
          <w:szCs w:val="28"/>
        </w:rPr>
        <w:t>ь</w:t>
      </w:r>
      <w:r w:rsidRPr="007401DA">
        <w:rPr>
          <w:rFonts w:ascii="Times New Roman" w:hAnsi="Times New Roman" w:cs="Times New Roman"/>
          <w:sz w:val="28"/>
          <w:szCs w:val="28"/>
        </w:rPr>
        <w:t>зователей качеством оказания телематических услуг связи, предоставляемых ра</w:t>
      </w:r>
      <w:r w:rsidRPr="007401DA">
        <w:rPr>
          <w:rFonts w:ascii="Times New Roman" w:hAnsi="Times New Roman" w:cs="Times New Roman"/>
          <w:sz w:val="28"/>
          <w:szCs w:val="28"/>
        </w:rPr>
        <w:t>з</w:t>
      </w:r>
      <w:r w:rsidRPr="007401DA">
        <w:rPr>
          <w:rFonts w:ascii="Times New Roman" w:hAnsi="Times New Roman" w:cs="Times New Roman"/>
          <w:sz w:val="28"/>
          <w:szCs w:val="28"/>
        </w:rPr>
        <w:t>личными операторами связи, включая операторов подвижной радиотелефонной св</w:t>
      </w:r>
      <w:r w:rsidRPr="007401DA">
        <w:rPr>
          <w:rFonts w:ascii="Times New Roman" w:hAnsi="Times New Roman" w:cs="Times New Roman"/>
          <w:sz w:val="28"/>
          <w:szCs w:val="28"/>
        </w:rPr>
        <w:t>я</w:t>
      </w:r>
      <w:r w:rsidRPr="007401DA">
        <w:rPr>
          <w:rFonts w:ascii="Times New Roman" w:hAnsi="Times New Roman" w:cs="Times New Roman"/>
          <w:sz w:val="28"/>
          <w:szCs w:val="28"/>
        </w:rPr>
        <w:t>зи, и правильностью начисления платы за данные усл</w:t>
      </w:r>
      <w:r w:rsidRPr="007401DA">
        <w:rPr>
          <w:rFonts w:ascii="Times New Roman" w:hAnsi="Times New Roman" w:cs="Times New Roman"/>
          <w:sz w:val="28"/>
          <w:szCs w:val="28"/>
        </w:rPr>
        <w:t>у</w:t>
      </w:r>
      <w:r w:rsidRPr="007401DA">
        <w:rPr>
          <w:rFonts w:ascii="Times New Roman" w:hAnsi="Times New Roman" w:cs="Times New Roman"/>
          <w:sz w:val="28"/>
          <w:szCs w:val="28"/>
        </w:rPr>
        <w:t>ги. Объективной причиной роста таких обращений является бурное развитие сетей подвижной радиотелефо</w:t>
      </w:r>
      <w:r w:rsidRPr="007401DA">
        <w:rPr>
          <w:rFonts w:ascii="Times New Roman" w:hAnsi="Times New Roman" w:cs="Times New Roman"/>
          <w:sz w:val="28"/>
          <w:szCs w:val="28"/>
        </w:rPr>
        <w:t>н</w:t>
      </w:r>
      <w:r w:rsidRPr="007401DA">
        <w:rPr>
          <w:rFonts w:ascii="Times New Roman" w:hAnsi="Times New Roman" w:cs="Times New Roman"/>
          <w:sz w:val="28"/>
          <w:szCs w:val="28"/>
        </w:rPr>
        <w:t>ной связи третьего поколения и увеличения числа соответствующих абонентов. В ходе рассмотрения данных жалоб фа</w:t>
      </w:r>
      <w:r w:rsidRPr="007401DA">
        <w:rPr>
          <w:rFonts w:ascii="Times New Roman" w:hAnsi="Times New Roman" w:cs="Times New Roman"/>
          <w:sz w:val="28"/>
          <w:szCs w:val="28"/>
        </w:rPr>
        <w:t>к</w:t>
      </w:r>
      <w:r w:rsidRPr="007401DA">
        <w:rPr>
          <w:rFonts w:ascii="Times New Roman" w:hAnsi="Times New Roman" w:cs="Times New Roman"/>
          <w:sz w:val="28"/>
          <w:szCs w:val="28"/>
        </w:rPr>
        <w:t>ты нарушений не выявлены.</w:t>
      </w:r>
    </w:p>
    <w:p w:rsidR="007401DA" w:rsidRPr="007401DA" w:rsidRDefault="007401DA" w:rsidP="00740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401DA">
        <w:rPr>
          <w:rFonts w:ascii="Times New Roman" w:hAnsi="Times New Roman" w:cs="Times New Roman"/>
          <w:sz w:val="28"/>
          <w:szCs w:val="28"/>
        </w:rPr>
        <w:t>Число жалоб по другим темам (мошенничества, подозрения на угрозу жизни и здоровья, вызванные электромагнитным излучением РЭС) осталось на прежнем уровне. Жалобы по данной тематике перенаправлены в соотве</w:t>
      </w:r>
      <w:r w:rsidRPr="007401DA">
        <w:rPr>
          <w:rFonts w:ascii="Times New Roman" w:hAnsi="Times New Roman" w:cs="Times New Roman"/>
          <w:sz w:val="28"/>
          <w:szCs w:val="28"/>
        </w:rPr>
        <w:t>т</w:t>
      </w:r>
      <w:r w:rsidRPr="007401DA">
        <w:rPr>
          <w:rFonts w:ascii="Times New Roman" w:hAnsi="Times New Roman" w:cs="Times New Roman"/>
          <w:sz w:val="28"/>
          <w:szCs w:val="28"/>
        </w:rPr>
        <w:t>ствующие органы.</w:t>
      </w:r>
    </w:p>
    <w:p w:rsidR="007401DA" w:rsidRPr="007F43DC" w:rsidRDefault="007401DA" w:rsidP="007401DA"/>
    <w:p w:rsidR="007401DA" w:rsidRPr="007401DA" w:rsidRDefault="007401DA" w:rsidP="007401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01DA">
        <w:rPr>
          <w:rFonts w:ascii="Times New Roman" w:hAnsi="Times New Roman" w:cs="Times New Roman"/>
          <w:b/>
          <w:i/>
          <w:sz w:val="28"/>
          <w:szCs w:val="28"/>
        </w:rPr>
        <w:t xml:space="preserve">Работа с обращениями в области </w:t>
      </w:r>
      <w:proofErr w:type="gramStart"/>
      <w:r w:rsidRPr="007401DA">
        <w:rPr>
          <w:rFonts w:ascii="Times New Roman" w:hAnsi="Times New Roman" w:cs="Times New Roman"/>
          <w:b/>
          <w:i/>
          <w:sz w:val="28"/>
          <w:szCs w:val="28"/>
        </w:rPr>
        <w:t>персональных</w:t>
      </w:r>
      <w:proofErr w:type="gramEnd"/>
      <w:r w:rsidRPr="007401DA">
        <w:rPr>
          <w:rFonts w:ascii="Times New Roman" w:hAnsi="Times New Roman" w:cs="Times New Roman"/>
          <w:b/>
          <w:i/>
          <w:sz w:val="28"/>
          <w:szCs w:val="28"/>
        </w:rPr>
        <w:t xml:space="preserve"> данных</w:t>
      </w:r>
    </w:p>
    <w:p w:rsidR="007401DA" w:rsidRPr="007401DA" w:rsidRDefault="007401DA" w:rsidP="00740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401DA">
        <w:rPr>
          <w:rFonts w:ascii="Times New Roman" w:hAnsi="Times New Roman" w:cs="Times New Roman"/>
          <w:sz w:val="28"/>
          <w:szCs w:val="28"/>
        </w:rPr>
        <w:t>Общее количество обращений, поступивших от граждан, юридических лиц, г</w:t>
      </w:r>
      <w:r w:rsidRPr="007401DA">
        <w:rPr>
          <w:rFonts w:ascii="Times New Roman" w:hAnsi="Times New Roman" w:cs="Times New Roman"/>
          <w:sz w:val="28"/>
          <w:szCs w:val="28"/>
        </w:rPr>
        <w:t>о</w:t>
      </w:r>
      <w:r w:rsidRPr="007401DA">
        <w:rPr>
          <w:rFonts w:ascii="Times New Roman" w:hAnsi="Times New Roman" w:cs="Times New Roman"/>
          <w:sz w:val="28"/>
          <w:szCs w:val="28"/>
        </w:rPr>
        <w:t>сударственных органов, органов местного самоуправления, индивидуальных пре</w:t>
      </w:r>
      <w:r w:rsidRPr="007401DA">
        <w:rPr>
          <w:rFonts w:ascii="Times New Roman" w:hAnsi="Times New Roman" w:cs="Times New Roman"/>
          <w:sz w:val="28"/>
          <w:szCs w:val="28"/>
        </w:rPr>
        <w:t>д</w:t>
      </w:r>
      <w:r w:rsidRPr="007401DA">
        <w:rPr>
          <w:rFonts w:ascii="Times New Roman" w:hAnsi="Times New Roman" w:cs="Times New Roman"/>
          <w:sz w:val="28"/>
          <w:szCs w:val="28"/>
        </w:rPr>
        <w:t>принимателей, коммерческих организаций, общественных объединений и других, за о</w:t>
      </w:r>
      <w:r w:rsidRPr="007401DA">
        <w:rPr>
          <w:rFonts w:ascii="Times New Roman" w:hAnsi="Times New Roman" w:cs="Times New Roman"/>
          <w:sz w:val="28"/>
          <w:szCs w:val="28"/>
        </w:rPr>
        <w:t>т</w:t>
      </w:r>
      <w:r w:rsidRPr="007401DA">
        <w:rPr>
          <w:rFonts w:ascii="Times New Roman" w:hAnsi="Times New Roman" w:cs="Times New Roman"/>
          <w:sz w:val="28"/>
          <w:szCs w:val="28"/>
        </w:rPr>
        <w:t>четный период.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2"/>
        <w:gridCol w:w="2976"/>
        <w:gridCol w:w="4253"/>
      </w:tblGrid>
      <w:tr w:rsidR="007401DA" w:rsidRPr="00354537" w:rsidTr="007401DA">
        <w:trPr>
          <w:cantSplit/>
          <w:trHeight w:val="300"/>
        </w:trPr>
        <w:tc>
          <w:tcPr>
            <w:tcW w:w="5118" w:type="dxa"/>
            <w:gridSpan w:val="2"/>
          </w:tcPr>
          <w:p w:rsidR="007401DA" w:rsidRPr="00354537" w:rsidRDefault="007401DA" w:rsidP="007401DA">
            <w:pPr>
              <w:pStyle w:val="-"/>
            </w:pPr>
            <w:r w:rsidRPr="00354537">
              <w:t>Период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7401DA" w:rsidRPr="00354537" w:rsidRDefault="007401DA" w:rsidP="007401DA">
            <w:pPr>
              <w:pStyle w:val="-"/>
            </w:pPr>
            <w:r w:rsidRPr="00354537">
              <w:t>Общее количество обращений</w:t>
            </w:r>
          </w:p>
        </w:tc>
      </w:tr>
      <w:tr w:rsidR="007401DA" w:rsidRPr="00354537" w:rsidTr="007401DA">
        <w:trPr>
          <w:trHeight w:val="300"/>
        </w:trPr>
        <w:tc>
          <w:tcPr>
            <w:tcW w:w="2142" w:type="dxa"/>
            <w:vMerge w:val="restart"/>
            <w:vAlign w:val="center"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  <w:r w:rsidRPr="00354537">
              <w:rPr>
                <w:color w:val="000000"/>
              </w:rPr>
              <w:t>2012 год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  <w:r w:rsidRPr="00354537">
              <w:rPr>
                <w:color w:val="000000"/>
              </w:rPr>
              <w:t xml:space="preserve">1 кв. 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  <w:r w:rsidRPr="00354537">
              <w:rPr>
                <w:color w:val="000000"/>
              </w:rPr>
              <w:t>5</w:t>
            </w:r>
          </w:p>
        </w:tc>
      </w:tr>
      <w:tr w:rsidR="007401DA" w:rsidRPr="00354537" w:rsidTr="007401DA">
        <w:trPr>
          <w:trHeight w:val="300"/>
        </w:trPr>
        <w:tc>
          <w:tcPr>
            <w:tcW w:w="2142" w:type="dxa"/>
            <w:vMerge/>
            <w:vAlign w:val="center"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  <w:r w:rsidRPr="00354537">
              <w:rPr>
                <w:color w:val="000000"/>
              </w:rPr>
              <w:t xml:space="preserve">2 кв. 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  <w:r w:rsidRPr="00354537">
              <w:rPr>
                <w:color w:val="000000"/>
              </w:rPr>
              <w:t>4</w:t>
            </w:r>
          </w:p>
        </w:tc>
      </w:tr>
      <w:tr w:rsidR="007401DA" w:rsidRPr="00354537" w:rsidTr="007401DA">
        <w:trPr>
          <w:trHeight w:val="300"/>
        </w:trPr>
        <w:tc>
          <w:tcPr>
            <w:tcW w:w="2142" w:type="dxa"/>
            <w:vMerge/>
            <w:vAlign w:val="center"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  <w:r w:rsidRPr="00354537">
              <w:rPr>
                <w:color w:val="000000"/>
              </w:rPr>
              <w:t>3 кв.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  <w:r w:rsidRPr="00354537">
              <w:rPr>
                <w:color w:val="000000"/>
              </w:rPr>
              <w:t>2</w:t>
            </w:r>
          </w:p>
        </w:tc>
      </w:tr>
      <w:tr w:rsidR="007401DA" w:rsidRPr="00354537" w:rsidTr="007401DA">
        <w:trPr>
          <w:trHeight w:val="300"/>
        </w:trPr>
        <w:tc>
          <w:tcPr>
            <w:tcW w:w="2142" w:type="dxa"/>
            <w:vMerge/>
            <w:vAlign w:val="center"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401DA" w:rsidRPr="00354537" w:rsidRDefault="007401DA" w:rsidP="007401DA">
            <w:pPr>
              <w:pStyle w:val="a4"/>
              <w:rPr>
                <w:b/>
                <w:color w:val="000000"/>
              </w:rPr>
            </w:pPr>
            <w:r w:rsidRPr="00354537">
              <w:rPr>
                <w:b/>
                <w:color w:val="000000"/>
              </w:rPr>
              <w:t>Всего: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7401DA" w:rsidRPr="00354537" w:rsidRDefault="007401DA" w:rsidP="007401DA">
            <w:pPr>
              <w:pStyle w:val="a4"/>
              <w:rPr>
                <w:b/>
                <w:color w:val="000000"/>
              </w:rPr>
            </w:pPr>
            <w:r w:rsidRPr="00354537">
              <w:rPr>
                <w:b/>
                <w:color w:val="000000"/>
              </w:rPr>
              <w:t>11</w:t>
            </w:r>
          </w:p>
        </w:tc>
      </w:tr>
      <w:tr w:rsidR="007401DA" w:rsidRPr="00354537" w:rsidTr="007401DA">
        <w:trPr>
          <w:trHeight w:val="300"/>
        </w:trPr>
        <w:tc>
          <w:tcPr>
            <w:tcW w:w="2142" w:type="dxa"/>
            <w:vMerge w:val="restart"/>
            <w:vAlign w:val="center"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  <w:r w:rsidRPr="00354537">
              <w:rPr>
                <w:color w:val="000000"/>
              </w:rPr>
              <w:t>2013 год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  <w:r w:rsidRPr="00354537">
              <w:rPr>
                <w:color w:val="000000"/>
              </w:rPr>
              <w:t xml:space="preserve">1 кв. 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  <w:r w:rsidRPr="00354537">
              <w:rPr>
                <w:color w:val="000000"/>
              </w:rPr>
              <w:t>4</w:t>
            </w:r>
          </w:p>
        </w:tc>
      </w:tr>
      <w:tr w:rsidR="007401DA" w:rsidRPr="00354537" w:rsidTr="007401DA">
        <w:trPr>
          <w:cantSplit/>
          <w:trHeight w:val="300"/>
        </w:trPr>
        <w:tc>
          <w:tcPr>
            <w:tcW w:w="2142" w:type="dxa"/>
            <w:vMerge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  <w:r w:rsidRPr="00354537">
              <w:rPr>
                <w:color w:val="000000"/>
              </w:rPr>
              <w:t xml:space="preserve">2 кв. 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  <w:r w:rsidRPr="00354537">
              <w:rPr>
                <w:color w:val="000000"/>
              </w:rPr>
              <w:t>6</w:t>
            </w:r>
          </w:p>
        </w:tc>
      </w:tr>
      <w:tr w:rsidR="007401DA" w:rsidRPr="00354537" w:rsidTr="007401DA">
        <w:trPr>
          <w:cantSplit/>
          <w:trHeight w:val="300"/>
        </w:trPr>
        <w:tc>
          <w:tcPr>
            <w:tcW w:w="2142" w:type="dxa"/>
            <w:vMerge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  <w:r w:rsidRPr="00354537">
              <w:rPr>
                <w:color w:val="000000"/>
              </w:rPr>
              <w:t>3 кв.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  <w:r w:rsidRPr="00354537">
              <w:rPr>
                <w:color w:val="000000"/>
              </w:rPr>
              <w:t>1</w:t>
            </w:r>
          </w:p>
        </w:tc>
      </w:tr>
      <w:tr w:rsidR="007401DA" w:rsidRPr="00354537" w:rsidTr="007401DA">
        <w:trPr>
          <w:cantSplit/>
          <w:trHeight w:val="300"/>
        </w:trPr>
        <w:tc>
          <w:tcPr>
            <w:tcW w:w="2142" w:type="dxa"/>
            <w:vMerge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7401DA" w:rsidRPr="00354537" w:rsidRDefault="007401DA" w:rsidP="007401DA">
            <w:pPr>
              <w:pStyle w:val="a4"/>
              <w:rPr>
                <w:b/>
                <w:color w:val="000000"/>
              </w:rPr>
            </w:pPr>
            <w:r w:rsidRPr="00354537">
              <w:rPr>
                <w:b/>
                <w:color w:val="000000"/>
              </w:rPr>
              <w:t>Всего: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7401DA" w:rsidRPr="00354537" w:rsidRDefault="007401DA" w:rsidP="007401DA">
            <w:pPr>
              <w:pStyle w:val="a4"/>
              <w:rPr>
                <w:b/>
                <w:color w:val="000000"/>
              </w:rPr>
            </w:pPr>
            <w:r w:rsidRPr="00354537">
              <w:rPr>
                <w:b/>
                <w:color w:val="000000"/>
              </w:rPr>
              <w:t>11</w:t>
            </w:r>
          </w:p>
        </w:tc>
      </w:tr>
    </w:tbl>
    <w:p w:rsidR="007401DA" w:rsidRPr="007401DA" w:rsidRDefault="007401DA" w:rsidP="007401DA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401DA">
        <w:rPr>
          <w:rFonts w:ascii="Times New Roman" w:hAnsi="Times New Roman" w:cs="Times New Roman"/>
          <w:sz w:val="28"/>
          <w:szCs w:val="28"/>
          <w:lang w:eastAsia="ar-SA"/>
        </w:rPr>
        <w:t>За 9 месяцев 2013 года поступило 11 обращений юридических лиц и граждан в о</w:t>
      </w:r>
      <w:r w:rsidRPr="007401DA"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Pr="007401DA">
        <w:rPr>
          <w:rFonts w:ascii="Times New Roman" w:hAnsi="Times New Roman" w:cs="Times New Roman"/>
          <w:sz w:val="28"/>
          <w:szCs w:val="28"/>
          <w:lang w:eastAsia="ar-SA"/>
        </w:rPr>
        <w:t>ласти персональных да</w:t>
      </w:r>
      <w:r w:rsidRPr="007401DA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7401DA">
        <w:rPr>
          <w:rFonts w:ascii="Times New Roman" w:hAnsi="Times New Roman" w:cs="Times New Roman"/>
          <w:sz w:val="28"/>
          <w:szCs w:val="28"/>
          <w:lang w:eastAsia="ar-SA"/>
        </w:rPr>
        <w:t>ных, из них 9 - обращения граждан:</w:t>
      </w:r>
    </w:p>
    <w:p w:rsidR="007401DA" w:rsidRPr="007401DA" w:rsidRDefault="007401DA" w:rsidP="007401DA">
      <w:pPr>
        <w:spacing w:before="240"/>
        <w:ind w:firstLine="72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401DA">
        <w:rPr>
          <w:rFonts w:ascii="Times New Roman" w:hAnsi="Times New Roman" w:cs="Times New Roman"/>
          <w:b/>
          <w:sz w:val="28"/>
          <w:szCs w:val="28"/>
          <w:lang w:eastAsia="ar-SA"/>
        </w:rPr>
        <w:t>Рассмотрение обращений поступивших от физических лиц</w:t>
      </w:r>
    </w:p>
    <w:p w:rsidR="007401DA" w:rsidRPr="007401DA" w:rsidRDefault="007401DA" w:rsidP="007401DA">
      <w:pPr>
        <w:rPr>
          <w:rFonts w:ascii="Times New Roman" w:hAnsi="Times New Roman" w:cs="Times New Roman"/>
          <w:sz w:val="28"/>
          <w:szCs w:val="28"/>
        </w:rPr>
      </w:pPr>
      <w:r w:rsidRPr="007401DA">
        <w:rPr>
          <w:rFonts w:ascii="Times New Roman" w:hAnsi="Times New Roman" w:cs="Times New Roman"/>
          <w:sz w:val="28"/>
          <w:szCs w:val="28"/>
        </w:rPr>
        <w:t>Всего за 9 месяцев 2013 года поступило 9 обращений от физических лиц.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1"/>
        <w:gridCol w:w="1591"/>
        <w:gridCol w:w="2068"/>
        <w:gridCol w:w="2068"/>
        <w:gridCol w:w="3523"/>
      </w:tblGrid>
      <w:tr w:rsidR="007401DA" w:rsidRPr="00354537" w:rsidTr="007401DA">
        <w:trPr>
          <w:trHeight w:val="300"/>
        </w:trPr>
        <w:tc>
          <w:tcPr>
            <w:tcW w:w="1605" w:type="pct"/>
            <w:gridSpan w:val="2"/>
            <w:vAlign w:val="center"/>
          </w:tcPr>
          <w:p w:rsidR="007401DA" w:rsidRPr="00354537" w:rsidRDefault="007401DA" w:rsidP="007401DA">
            <w:pPr>
              <w:pStyle w:val="a4"/>
            </w:pPr>
            <w:r w:rsidRPr="00354537">
              <w:t>Период</w:t>
            </w:r>
          </w:p>
        </w:tc>
        <w:tc>
          <w:tcPr>
            <w:tcW w:w="1132" w:type="pct"/>
            <w:vAlign w:val="center"/>
          </w:tcPr>
          <w:p w:rsidR="007401DA" w:rsidRPr="00354537" w:rsidRDefault="007401DA" w:rsidP="007401DA">
            <w:pPr>
              <w:pStyle w:val="a4"/>
              <w:rPr>
                <w:b/>
              </w:rPr>
            </w:pPr>
            <w:r w:rsidRPr="00354537">
              <w:rPr>
                <w:b/>
              </w:rPr>
              <w:t>поступило из ЦА</w:t>
            </w:r>
          </w:p>
        </w:tc>
        <w:tc>
          <w:tcPr>
            <w:tcW w:w="1132" w:type="pct"/>
            <w:vAlign w:val="center"/>
          </w:tcPr>
          <w:p w:rsidR="007401DA" w:rsidRPr="00354537" w:rsidRDefault="007401DA" w:rsidP="007401DA">
            <w:pPr>
              <w:pStyle w:val="a4"/>
              <w:rPr>
                <w:b/>
              </w:rPr>
            </w:pPr>
            <w:r w:rsidRPr="00354537">
              <w:rPr>
                <w:b/>
              </w:rPr>
              <w:t>поступило в ТО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7401DA" w:rsidRPr="00354537" w:rsidRDefault="007401DA" w:rsidP="007401DA">
            <w:pPr>
              <w:pStyle w:val="a4"/>
              <w:rPr>
                <w:b/>
              </w:rPr>
            </w:pPr>
            <w:r w:rsidRPr="00354537">
              <w:rPr>
                <w:b/>
              </w:rPr>
              <w:t>Общее количество обращений</w:t>
            </w:r>
          </w:p>
        </w:tc>
      </w:tr>
      <w:tr w:rsidR="007401DA" w:rsidRPr="00354537" w:rsidTr="007401DA">
        <w:trPr>
          <w:trHeight w:val="300"/>
        </w:trPr>
        <w:tc>
          <w:tcPr>
            <w:tcW w:w="702" w:type="pct"/>
            <w:vMerge w:val="restart"/>
            <w:vAlign w:val="center"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  <w:r w:rsidRPr="00354537">
              <w:rPr>
                <w:color w:val="000000"/>
              </w:rPr>
              <w:t>2012 год</w:t>
            </w: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  <w:r w:rsidRPr="00354537">
              <w:rPr>
                <w:color w:val="000000"/>
              </w:rPr>
              <w:t>1 кв.</w:t>
            </w:r>
          </w:p>
        </w:tc>
        <w:tc>
          <w:tcPr>
            <w:tcW w:w="1132" w:type="pct"/>
            <w:vAlign w:val="center"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  <w:r w:rsidRPr="00354537">
              <w:rPr>
                <w:color w:val="000000"/>
              </w:rPr>
              <w:t>0</w:t>
            </w:r>
          </w:p>
        </w:tc>
        <w:tc>
          <w:tcPr>
            <w:tcW w:w="1132" w:type="pct"/>
            <w:vAlign w:val="center"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  <w:r w:rsidRPr="00354537">
              <w:rPr>
                <w:color w:val="000000"/>
              </w:rPr>
              <w:t>2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  <w:r w:rsidRPr="00354537">
              <w:rPr>
                <w:color w:val="000000"/>
              </w:rPr>
              <w:t>2</w:t>
            </w:r>
          </w:p>
        </w:tc>
      </w:tr>
      <w:tr w:rsidR="007401DA" w:rsidRPr="00354537" w:rsidTr="007401DA">
        <w:trPr>
          <w:trHeight w:val="300"/>
        </w:trPr>
        <w:tc>
          <w:tcPr>
            <w:tcW w:w="702" w:type="pct"/>
            <w:vMerge/>
            <w:vAlign w:val="center"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  <w:r w:rsidRPr="00354537">
              <w:rPr>
                <w:color w:val="000000"/>
              </w:rPr>
              <w:t>2 кв.</w:t>
            </w:r>
          </w:p>
        </w:tc>
        <w:tc>
          <w:tcPr>
            <w:tcW w:w="1132" w:type="pct"/>
            <w:vAlign w:val="center"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  <w:r w:rsidRPr="00354537">
              <w:rPr>
                <w:color w:val="000000"/>
              </w:rPr>
              <w:t>0</w:t>
            </w:r>
          </w:p>
        </w:tc>
        <w:tc>
          <w:tcPr>
            <w:tcW w:w="1132" w:type="pct"/>
            <w:vAlign w:val="center"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  <w:r w:rsidRPr="00354537">
              <w:rPr>
                <w:color w:val="000000"/>
              </w:rPr>
              <w:t>3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  <w:r w:rsidRPr="00354537">
              <w:rPr>
                <w:color w:val="000000"/>
              </w:rPr>
              <w:t>3</w:t>
            </w:r>
          </w:p>
        </w:tc>
      </w:tr>
      <w:tr w:rsidR="007401DA" w:rsidRPr="00354537" w:rsidTr="007401DA">
        <w:trPr>
          <w:trHeight w:val="300"/>
        </w:trPr>
        <w:tc>
          <w:tcPr>
            <w:tcW w:w="702" w:type="pct"/>
            <w:vMerge/>
            <w:vAlign w:val="center"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  <w:r w:rsidRPr="00354537">
              <w:rPr>
                <w:color w:val="000000"/>
              </w:rPr>
              <w:t>3 кв.</w:t>
            </w:r>
          </w:p>
        </w:tc>
        <w:tc>
          <w:tcPr>
            <w:tcW w:w="1132" w:type="pct"/>
            <w:vAlign w:val="center"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  <w:r w:rsidRPr="00354537">
              <w:rPr>
                <w:color w:val="000000"/>
              </w:rPr>
              <w:t>0</w:t>
            </w:r>
          </w:p>
        </w:tc>
        <w:tc>
          <w:tcPr>
            <w:tcW w:w="1132" w:type="pct"/>
            <w:vAlign w:val="center"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  <w:r w:rsidRPr="00354537">
              <w:rPr>
                <w:color w:val="000000"/>
              </w:rPr>
              <w:t>0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  <w:r w:rsidRPr="00354537">
              <w:rPr>
                <w:color w:val="000000"/>
              </w:rPr>
              <w:t>0</w:t>
            </w:r>
          </w:p>
        </w:tc>
      </w:tr>
      <w:tr w:rsidR="007401DA" w:rsidRPr="00354537" w:rsidTr="007401DA">
        <w:trPr>
          <w:trHeight w:val="300"/>
        </w:trPr>
        <w:tc>
          <w:tcPr>
            <w:tcW w:w="702" w:type="pct"/>
            <w:vMerge/>
            <w:vAlign w:val="center"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</w:p>
        </w:tc>
        <w:tc>
          <w:tcPr>
            <w:tcW w:w="903" w:type="pct"/>
            <w:shd w:val="clear" w:color="auto" w:fill="auto"/>
            <w:noWrap/>
            <w:vAlign w:val="center"/>
            <w:hideMark/>
          </w:tcPr>
          <w:p w:rsidR="007401DA" w:rsidRPr="00354537" w:rsidRDefault="007401DA" w:rsidP="007401DA">
            <w:pPr>
              <w:pStyle w:val="a4"/>
              <w:rPr>
                <w:b/>
                <w:color w:val="000000"/>
              </w:rPr>
            </w:pPr>
            <w:r w:rsidRPr="00354537">
              <w:rPr>
                <w:b/>
                <w:color w:val="000000"/>
              </w:rPr>
              <w:t>Всего:</w:t>
            </w:r>
          </w:p>
        </w:tc>
        <w:tc>
          <w:tcPr>
            <w:tcW w:w="1132" w:type="pct"/>
            <w:vAlign w:val="center"/>
          </w:tcPr>
          <w:p w:rsidR="007401DA" w:rsidRPr="00354537" w:rsidRDefault="007401DA" w:rsidP="007401DA">
            <w:pPr>
              <w:pStyle w:val="a4"/>
              <w:rPr>
                <w:b/>
                <w:color w:val="000000"/>
              </w:rPr>
            </w:pPr>
            <w:r w:rsidRPr="00354537">
              <w:rPr>
                <w:b/>
                <w:color w:val="000000"/>
              </w:rPr>
              <w:t>0</w:t>
            </w:r>
          </w:p>
        </w:tc>
        <w:tc>
          <w:tcPr>
            <w:tcW w:w="1132" w:type="pct"/>
            <w:vAlign w:val="center"/>
          </w:tcPr>
          <w:p w:rsidR="007401DA" w:rsidRPr="00354537" w:rsidRDefault="007401DA" w:rsidP="007401DA">
            <w:pPr>
              <w:pStyle w:val="a4"/>
              <w:rPr>
                <w:b/>
                <w:color w:val="000000"/>
              </w:rPr>
            </w:pPr>
            <w:r w:rsidRPr="00354537">
              <w:rPr>
                <w:b/>
                <w:color w:val="000000"/>
              </w:rPr>
              <w:t>5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7401DA" w:rsidRPr="00354537" w:rsidRDefault="007401DA" w:rsidP="007401DA">
            <w:pPr>
              <w:pStyle w:val="a4"/>
              <w:rPr>
                <w:b/>
                <w:color w:val="000000"/>
              </w:rPr>
            </w:pPr>
            <w:r w:rsidRPr="00354537">
              <w:rPr>
                <w:b/>
                <w:color w:val="000000"/>
              </w:rPr>
              <w:t>5</w:t>
            </w:r>
          </w:p>
        </w:tc>
      </w:tr>
      <w:tr w:rsidR="007401DA" w:rsidRPr="00354537" w:rsidTr="007401DA">
        <w:trPr>
          <w:trHeight w:val="300"/>
        </w:trPr>
        <w:tc>
          <w:tcPr>
            <w:tcW w:w="702" w:type="pct"/>
            <w:vMerge w:val="restart"/>
            <w:vAlign w:val="center"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  <w:r w:rsidRPr="00354537">
              <w:rPr>
                <w:color w:val="000000"/>
              </w:rPr>
              <w:t>2013 год</w:t>
            </w:r>
          </w:p>
        </w:tc>
        <w:tc>
          <w:tcPr>
            <w:tcW w:w="903" w:type="pct"/>
            <w:shd w:val="clear" w:color="auto" w:fill="auto"/>
            <w:noWrap/>
            <w:vAlign w:val="center"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  <w:r w:rsidRPr="00354537">
              <w:rPr>
                <w:color w:val="000000"/>
              </w:rPr>
              <w:t>1 кв.</w:t>
            </w:r>
          </w:p>
        </w:tc>
        <w:tc>
          <w:tcPr>
            <w:tcW w:w="1132" w:type="pct"/>
            <w:vAlign w:val="center"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  <w:r w:rsidRPr="00354537">
              <w:rPr>
                <w:color w:val="000000"/>
              </w:rPr>
              <w:t>0</w:t>
            </w:r>
          </w:p>
        </w:tc>
        <w:tc>
          <w:tcPr>
            <w:tcW w:w="1132" w:type="pct"/>
            <w:vAlign w:val="center"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  <w:r w:rsidRPr="00354537">
              <w:rPr>
                <w:color w:val="000000"/>
              </w:rPr>
              <w:t>3</w:t>
            </w:r>
          </w:p>
        </w:tc>
        <w:tc>
          <w:tcPr>
            <w:tcW w:w="1132" w:type="pct"/>
            <w:shd w:val="clear" w:color="auto" w:fill="auto"/>
            <w:noWrap/>
            <w:vAlign w:val="center"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  <w:r w:rsidRPr="00354537">
              <w:rPr>
                <w:color w:val="000000"/>
              </w:rPr>
              <w:t>3</w:t>
            </w:r>
          </w:p>
        </w:tc>
      </w:tr>
      <w:tr w:rsidR="007401DA" w:rsidRPr="00354537" w:rsidTr="007401DA">
        <w:trPr>
          <w:trHeight w:val="300"/>
        </w:trPr>
        <w:tc>
          <w:tcPr>
            <w:tcW w:w="702" w:type="pct"/>
            <w:vMerge/>
            <w:vAlign w:val="center"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</w:p>
        </w:tc>
        <w:tc>
          <w:tcPr>
            <w:tcW w:w="903" w:type="pct"/>
            <w:shd w:val="clear" w:color="auto" w:fill="auto"/>
            <w:noWrap/>
            <w:vAlign w:val="center"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  <w:r w:rsidRPr="00354537">
              <w:rPr>
                <w:color w:val="000000"/>
              </w:rPr>
              <w:t>2 кв.</w:t>
            </w:r>
          </w:p>
        </w:tc>
        <w:tc>
          <w:tcPr>
            <w:tcW w:w="1132" w:type="pct"/>
            <w:vAlign w:val="center"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  <w:r w:rsidRPr="00354537">
              <w:rPr>
                <w:color w:val="000000"/>
              </w:rPr>
              <w:t>0</w:t>
            </w:r>
          </w:p>
        </w:tc>
        <w:tc>
          <w:tcPr>
            <w:tcW w:w="1132" w:type="pct"/>
            <w:vAlign w:val="center"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  <w:r w:rsidRPr="00354537">
              <w:rPr>
                <w:color w:val="000000"/>
              </w:rPr>
              <w:t>5</w:t>
            </w:r>
          </w:p>
        </w:tc>
        <w:tc>
          <w:tcPr>
            <w:tcW w:w="1132" w:type="pct"/>
            <w:shd w:val="clear" w:color="auto" w:fill="auto"/>
            <w:noWrap/>
            <w:vAlign w:val="center"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  <w:r w:rsidRPr="00354537">
              <w:rPr>
                <w:color w:val="000000"/>
              </w:rPr>
              <w:t>5</w:t>
            </w:r>
          </w:p>
        </w:tc>
      </w:tr>
      <w:tr w:rsidR="007401DA" w:rsidRPr="00354537" w:rsidTr="007401DA">
        <w:trPr>
          <w:trHeight w:val="300"/>
        </w:trPr>
        <w:tc>
          <w:tcPr>
            <w:tcW w:w="702" w:type="pct"/>
            <w:vMerge/>
            <w:vAlign w:val="center"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</w:p>
        </w:tc>
        <w:tc>
          <w:tcPr>
            <w:tcW w:w="903" w:type="pct"/>
            <w:shd w:val="clear" w:color="auto" w:fill="auto"/>
            <w:noWrap/>
            <w:vAlign w:val="center"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  <w:r w:rsidRPr="00354537">
              <w:rPr>
                <w:color w:val="000000"/>
              </w:rPr>
              <w:t>3 кв.</w:t>
            </w:r>
          </w:p>
        </w:tc>
        <w:tc>
          <w:tcPr>
            <w:tcW w:w="1132" w:type="pct"/>
            <w:vAlign w:val="center"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  <w:r w:rsidRPr="00354537">
              <w:rPr>
                <w:color w:val="000000"/>
              </w:rPr>
              <w:t>0</w:t>
            </w:r>
          </w:p>
        </w:tc>
        <w:tc>
          <w:tcPr>
            <w:tcW w:w="1132" w:type="pct"/>
            <w:vAlign w:val="center"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  <w:r w:rsidRPr="00354537">
              <w:rPr>
                <w:color w:val="000000"/>
              </w:rPr>
              <w:t>1</w:t>
            </w:r>
          </w:p>
        </w:tc>
        <w:tc>
          <w:tcPr>
            <w:tcW w:w="1132" w:type="pct"/>
            <w:shd w:val="clear" w:color="auto" w:fill="auto"/>
            <w:noWrap/>
            <w:vAlign w:val="center"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  <w:r w:rsidRPr="00354537">
              <w:rPr>
                <w:color w:val="000000"/>
              </w:rPr>
              <w:t>1</w:t>
            </w:r>
          </w:p>
        </w:tc>
      </w:tr>
      <w:tr w:rsidR="007401DA" w:rsidRPr="00354537" w:rsidTr="007401DA">
        <w:trPr>
          <w:trHeight w:val="300"/>
        </w:trPr>
        <w:tc>
          <w:tcPr>
            <w:tcW w:w="702" w:type="pct"/>
            <w:vMerge/>
            <w:vAlign w:val="center"/>
          </w:tcPr>
          <w:p w:rsidR="007401DA" w:rsidRPr="00354537" w:rsidRDefault="007401DA" w:rsidP="007401DA">
            <w:pPr>
              <w:pStyle w:val="a4"/>
              <w:rPr>
                <w:color w:val="000000"/>
              </w:rPr>
            </w:pPr>
          </w:p>
        </w:tc>
        <w:tc>
          <w:tcPr>
            <w:tcW w:w="903" w:type="pct"/>
            <w:shd w:val="clear" w:color="auto" w:fill="auto"/>
            <w:noWrap/>
            <w:vAlign w:val="center"/>
          </w:tcPr>
          <w:p w:rsidR="007401DA" w:rsidRPr="00354537" w:rsidRDefault="007401DA" w:rsidP="007401DA">
            <w:pPr>
              <w:pStyle w:val="a4"/>
              <w:rPr>
                <w:b/>
                <w:color w:val="000000"/>
              </w:rPr>
            </w:pPr>
            <w:r w:rsidRPr="00354537">
              <w:rPr>
                <w:b/>
                <w:color w:val="000000"/>
              </w:rPr>
              <w:t>Всего:</w:t>
            </w:r>
          </w:p>
        </w:tc>
        <w:tc>
          <w:tcPr>
            <w:tcW w:w="1132" w:type="pct"/>
            <w:vAlign w:val="center"/>
          </w:tcPr>
          <w:p w:rsidR="007401DA" w:rsidRPr="00354537" w:rsidRDefault="007401DA" w:rsidP="007401DA">
            <w:pPr>
              <w:pStyle w:val="a4"/>
              <w:rPr>
                <w:b/>
                <w:color w:val="000000"/>
              </w:rPr>
            </w:pPr>
            <w:r w:rsidRPr="00354537">
              <w:rPr>
                <w:b/>
                <w:color w:val="000000"/>
              </w:rPr>
              <w:t>0</w:t>
            </w:r>
          </w:p>
        </w:tc>
        <w:tc>
          <w:tcPr>
            <w:tcW w:w="1132" w:type="pct"/>
            <w:vAlign w:val="center"/>
          </w:tcPr>
          <w:p w:rsidR="007401DA" w:rsidRPr="00354537" w:rsidRDefault="007401DA" w:rsidP="007401DA">
            <w:pPr>
              <w:pStyle w:val="a4"/>
              <w:rPr>
                <w:b/>
                <w:color w:val="000000"/>
              </w:rPr>
            </w:pPr>
            <w:r w:rsidRPr="00354537">
              <w:rPr>
                <w:b/>
                <w:color w:val="000000"/>
              </w:rPr>
              <w:t>9</w:t>
            </w:r>
          </w:p>
        </w:tc>
        <w:tc>
          <w:tcPr>
            <w:tcW w:w="1132" w:type="pct"/>
            <w:shd w:val="clear" w:color="auto" w:fill="auto"/>
            <w:noWrap/>
            <w:vAlign w:val="center"/>
          </w:tcPr>
          <w:p w:rsidR="007401DA" w:rsidRPr="00354537" w:rsidRDefault="007401DA" w:rsidP="007401DA">
            <w:pPr>
              <w:pStyle w:val="a4"/>
              <w:rPr>
                <w:b/>
                <w:color w:val="000000"/>
              </w:rPr>
            </w:pPr>
            <w:r w:rsidRPr="00354537">
              <w:rPr>
                <w:b/>
                <w:color w:val="000000"/>
              </w:rPr>
              <w:t>9</w:t>
            </w:r>
          </w:p>
        </w:tc>
      </w:tr>
    </w:tbl>
    <w:p w:rsidR="00F75F15" w:rsidRDefault="00F75F15" w:rsidP="00F75F15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01DA" w:rsidRPr="00F75F15" w:rsidRDefault="00F75F15" w:rsidP="00F75F15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отчетном периоде</w:t>
      </w:r>
      <w:r w:rsidR="007401DA" w:rsidRPr="00F75F15">
        <w:rPr>
          <w:rFonts w:ascii="Times New Roman" w:hAnsi="Times New Roman" w:cs="Times New Roman"/>
          <w:sz w:val="28"/>
          <w:szCs w:val="28"/>
          <w:lang w:eastAsia="ar-SA"/>
        </w:rPr>
        <w:t xml:space="preserve"> поступило одно обращение по факту размещения пе</w:t>
      </w:r>
      <w:r w:rsidR="007401DA" w:rsidRPr="00F75F15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7401DA" w:rsidRPr="00F75F15">
        <w:rPr>
          <w:rFonts w:ascii="Times New Roman" w:hAnsi="Times New Roman" w:cs="Times New Roman"/>
          <w:sz w:val="28"/>
          <w:szCs w:val="28"/>
          <w:lang w:eastAsia="ar-SA"/>
        </w:rPr>
        <w:t>сональных данных (списка должников с указанием адреса, Ф.И.О. и суммы долга) на оборотной стор</w:t>
      </w:r>
      <w:r w:rsidR="007401DA" w:rsidRPr="00F75F15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7401DA" w:rsidRPr="00F75F15">
        <w:rPr>
          <w:rFonts w:ascii="Times New Roman" w:hAnsi="Times New Roman" w:cs="Times New Roman"/>
          <w:sz w:val="28"/>
          <w:szCs w:val="28"/>
          <w:lang w:eastAsia="ar-SA"/>
        </w:rPr>
        <w:t>не платежных документов на оплату жилищно-коммунальных услуг за август 2013 года. Это обращение находится на ра</w:t>
      </w:r>
      <w:r w:rsidR="007401DA" w:rsidRPr="00F75F15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7401DA" w:rsidRPr="00F75F15">
        <w:rPr>
          <w:rFonts w:ascii="Times New Roman" w:hAnsi="Times New Roman" w:cs="Times New Roman"/>
          <w:sz w:val="28"/>
          <w:szCs w:val="28"/>
          <w:lang w:eastAsia="ar-SA"/>
        </w:rPr>
        <w:t>смотрении.</w:t>
      </w:r>
    </w:p>
    <w:p w:rsidR="007401DA" w:rsidRPr="00354537" w:rsidRDefault="007401DA" w:rsidP="007401DA">
      <w:pPr>
        <w:ind w:firstLine="720"/>
        <w:rPr>
          <w:color w:val="0070C0"/>
          <w:szCs w:val="20"/>
          <w:lang w:eastAsia="ar-SA"/>
        </w:rPr>
      </w:pPr>
    </w:p>
    <w:p w:rsidR="007401DA" w:rsidRPr="00F75F15" w:rsidRDefault="007401DA" w:rsidP="007401DA">
      <w:pPr>
        <w:keepNext/>
        <w:ind w:firstLine="72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75F1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Типовые нарушения, совершаемые операторами в области </w:t>
      </w:r>
      <w:proofErr w:type="gramStart"/>
      <w:r w:rsidRPr="00F75F15">
        <w:rPr>
          <w:rFonts w:ascii="Times New Roman" w:hAnsi="Times New Roman" w:cs="Times New Roman"/>
          <w:b/>
          <w:sz w:val="28"/>
          <w:szCs w:val="28"/>
          <w:lang w:eastAsia="ar-SA"/>
        </w:rPr>
        <w:t>перс</w:t>
      </w:r>
      <w:r w:rsidRPr="00F75F15">
        <w:rPr>
          <w:rFonts w:ascii="Times New Roman" w:hAnsi="Times New Roman" w:cs="Times New Roman"/>
          <w:b/>
          <w:sz w:val="28"/>
          <w:szCs w:val="28"/>
          <w:lang w:eastAsia="ar-SA"/>
        </w:rPr>
        <w:t>о</w:t>
      </w:r>
      <w:r w:rsidRPr="00F75F15">
        <w:rPr>
          <w:rFonts w:ascii="Times New Roman" w:hAnsi="Times New Roman" w:cs="Times New Roman"/>
          <w:b/>
          <w:sz w:val="28"/>
          <w:szCs w:val="28"/>
          <w:lang w:eastAsia="ar-SA"/>
        </w:rPr>
        <w:t>нальных</w:t>
      </w:r>
      <w:proofErr w:type="gramEnd"/>
      <w:r w:rsidRPr="00F75F1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данных:</w:t>
      </w:r>
    </w:p>
    <w:p w:rsidR="007401DA" w:rsidRPr="00F75F15" w:rsidRDefault="007401DA" w:rsidP="007401DA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F75F15">
        <w:rPr>
          <w:rFonts w:ascii="Times New Roman" w:hAnsi="Times New Roman" w:cs="Times New Roman"/>
          <w:sz w:val="28"/>
          <w:szCs w:val="28"/>
          <w:lang w:eastAsia="ar-SA"/>
        </w:rPr>
        <w:t>Типовыми являются нарушения требования конфиденциальности (ст. 7 Федеральн</w:t>
      </w:r>
      <w:r w:rsidRPr="00F75F15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F75F15">
        <w:rPr>
          <w:rFonts w:ascii="Times New Roman" w:hAnsi="Times New Roman" w:cs="Times New Roman"/>
          <w:sz w:val="28"/>
          <w:szCs w:val="28"/>
          <w:lang w:eastAsia="ar-SA"/>
        </w:rPr>
        <w:t>го закона от 27.07.2006 г. № 152-ФЗ «</w:t>
      </w:r>
      <w:proofErr w:type="gramStart"/>
      <w:r w:rsidRPr="00F75F15">
        <w:rPr>
          <w:rFonts w:ascii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F75F1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75F15">
        <w:rPr>
          <w:rFonts w:ascii="Times New Roman" w:hAnsi="Times New Roman" w:cs="Times New Roman"/>
          <w:sz w:val="28"/>
          <w:szCs w:val="28"/>
          <w:lang w:eastAsia="ar-SA"/>
        </w:rPr>
        <w:t>персональных</w:t>
      </w:r>
      <w:proofErr w:type="gramEnd"/>
      <w:r w:rsidRPr="00F75F15">
        <w:rPr>
          <w:rFonts w:ascii="Times New Roman" w:hAnsi="Times New Roman" w:cs="Times New Roman"/>
          <w:sz w:val="28"/>
          <w:szCs w:val="28"/>
          <w:lang w:eastAsia="ar-SA"/>
        </w:rPr>
        <w:t xml:space="preserve"> данных») путем передачи персональных данных третьему лицу или их размещения в открытом доступе (пу</w:t>
      </w:r>
      <w:r w:rsidRPr="00F75F15"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Pr="00F75F15">
        <w:rPr>
          <w:rFonts w:ascii="Times New Roman" w:hAnsi="Times New Roman" w:cs="Times New Roman"/>
          <w:sz w:val="28"/>
          <w:szCs w:val="28"/>
          <w:lang w:eastAsia="ar-SA"/>
        </w:rPr>
        <w:t>ликации и т.п.).</w:t>
      </w:r>
    </w:p>
    <w:p w:rsidR="000208E5" w:rsidRDefault="000208E5" w:rsidP="00597F44">
      <w:pPr>
        <w:pStyle w:val="a0"/>
      </w:pPr>
    </w:p>
    <w:sectPr w:rsidR="000208E5" w:rsidSect="00A423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A0EC5"/>
    <w:multiLevelType w:val="hybridMultilevel"/>
    <w:tmpl w:val="BAE6AD68"/>
    <w:lvl w:ilvl="0" w:tplc="9EBE6B8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A66258"/>
    <w:multiLevelType w:val="hybridMultilevel"/>
    <w:tmpl w:val="47F263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AA32E5"/>
    <w:rsid w:val="00014861"/>
    <w:rsid w:val="000208E5"/>
    <w:rsid w:val="0002125A"/>
    <w:rsid w:val="00037FB7"/>
    <w:rsid w:val="0004220D"/>
    <w:rsid w:val="00093DAF"/>
    <w:rsid w:val="000C3312"/>
    <w:rsid w:val="001725B7"/>
    <w:rsid w:val="00195188"/>
    <w:rsid w:val="001A1858"/>
    <w:rsid w:val="001B4C3E"/>
    <w:rsid w:val="001C6D9B"/>
    <w:rsid w:val="001C7A13"/>
    <w:rsid w:val="001D084E"/>
    <w:rsid w:val="001E315F"/>
    <w:rsid w:val="00204998"/>
    <w:rsid w:val="00212FC3"/>
    <w:rsid w:val="002B30F3"/>
    <w:rsid w:val="002D333B"/>
    <w:rsid w:val="002E1334"/>
    <w:rsid w:val="002E75F5"/>
    <w:rsid w:val="003018A5"/>
    <w:rsid w:val="0031551D"/>
    <w:rsid w:val="00323625"/>
    <w:rsid w:val="00342A75"/>
    <w:rsid w:val="003515B1"/>
    <w:rsid w:val="00351819"/>
    <w:rsid w:val="00363025"/>
    <w:rsid w:val="00394343"/>
    <w:rsid w:val="00394DDB"/>
    <w:rsid w:val="003C5224"/>
    <w:rsid w:val="003E00B6"/>
    <w:rsid w:val="003F2390"/>
    <w:rsid w:val="00400CDD"/>
    <w:rsid w:val="00420B9A"/>
    <w:rsid w:val="00425ACE"/>
    <w:rsid w:val="00434D67"/>
    <w:rsid w:val="00445149"/>
    <w:rsid w:val="004520C0"/>
    <w:rsid w:val="004775F1"/>
    <w:rsid w:val="004961A0"/>
    <w:rsid w:val="004B00D8"/>
    <w:rsid w:val="004D39D7"/>
    <w:rsid w:val="004E6413"/>
    <w:rsid w:val="00537B13"/>
    <w:rsid w:val="0055266C"/>
    <w:rsid w:val="00582934"/>
    <w:rsid w:val="00590174"/>
    <w:rsid w:val="0059176C"/>
    <w:rsid w:val="0059283F"/>
    <w:rsid w:val="00597F44"/>
    <w:rsid w:val="005D20E0"/>
    <w:rsid w:val="00600C9D"/>
    <w:rsid w:val="00636340"/>
    <w:rsid w:val="0064227C"/>
    <w:rsid w:val="00673409"/>
    <w:rsid w:val="00683D97"/>
    <w:rsid w:val="00696B0F"/>
    <w:rsid w:val="006B0053"/>
    <w:rsid w:val="00710045"/>
    <w:rsid w:val="007202F1"/>
    <w:rsid w:val="007248B6"/>
    <w:rsid w:val="00733B29"/>
    <w:rsid w:val="007401DA"/>
    <w:rsid w:val="0074029A"/>
    <w:rsid w:val="007532A5"/>
    <w:rsid w:val="00773A22"/>
    <w:rsid w:val="007B30F0"/>
    <w:rsid w:val="007C329B"/>
    <w:rsid w:val="007F0A0D"/>
    <w:rsid w:val="008301FD"/>
    <w:rsid w:val="00874BC4"/>
    <w:rsid w:val="008B2234"/>
    <w:rsid w:val="008D63AD"/>
    <w:rsid w:val="0093555A"/>
    <w:rsid w:val="0094467B"/>
    <w:rsid w:val="00955D22"/>
    <w:rsid w:val="009658C7"/>
    <w:rsid w:val="0099473E"/>
    <w:rsid w:val="009B0378"/>
    <w:rsid w:val="00A13FB8"/>
    <w:rsid w:val="00A42394"/>
    <w:rsid w:val="00AA32E5"/>
    <w:rsid w:val="00AF7D9D"/>
    <w:rsid w:val="00B2078D"/>
    <w:rsid w:val="00B765AB"/>
    <w:rsid w:val="00BD017C"/>
    <w:rsid w:val="00C379D8"/>
    <w:rsid w:val="00C53816"/>
    <w:rsid w:val="00C60959"/>
    <w:rsid w:val="00C8269F"/>
    <w:rsid w:val="00CA1AE7"/>
    <w:rsid w:val="00D20C5B"/>
    <w:rsid w:val="00D33FF8"/>
    <w:rsid w:val="00D34408"/>
    <w:rsid w:val="00D35849"/>
    <w:rsid w:val="00D560FA"/>
    <w:rsid w:val="00D9004C"/>
    <w:rsid w:val="00DA5E64"/>
    <w:rsid w:val="00E52ED8"/>
    <w:rsid w:val="00E56C40"/>
    <w:rsid w:val="00E7277A"/>
    <w:rsid w:val="00E93A34"/>
    <w:rsid w:val="00E96C82"/>
    <w:rsid w:val="00EA72B4"/>
    <w:rsid w:val="00EB6139"/>
    <w:rsid w:val="00F00151"/>
    <w:rsid w:val="00F01FCD"/>
    <w:rsid w:val="00F03848"/>
    <w:rsid w:val="00F61C51"/>
    <w:rsid w:val="00F64510"/>
    <w:rsid w:val="00F651B8"/>
    <w:rsid w:val="00F73A61"/>
    <w:rsid w:val="00F75F15"/>
    <w:rsid w:val="00F86DC2"/>
    <w:rsid w:val="00FC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3F"/>
  </w:style>
  <w:style w:type="paragraph" w:styleId="1">
    <w:name w:val="heading 1"/>
    <w:basedOn w:val="a"/>
    <w:next w:val="a"/>
    <w:link w:val="10"/>
    <w:qFormat/>
    <w:rsid w:val="00AA32E5"/>
    <w:pPr>
      <w:keepNext/>
      <w:suppressAutoHyphens/>
      <w:spacing w:before="360" w:after="120" w:line="240" w:lineRule="auto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32"/>
      <w:lang w:eastAsia="ar-SA"/>
    </w:rPr>
  </w:style>
  <w:style w:type="paragraph" w:styleId="2">
    <w:name w:val="heading 2"/>
    <w:basedOn w:val="a"/>
    <w:next w:val="a0"/>
    <w:link w:val="20"/>
    <w:uiPriority w:val="9"/>
    <w:unhideWhenUsed/>
    <w:qFormat/>
    <w:rsid w:val="00AA32E5"/>
    <w:pPr>
      <w:keepNext/>
      <w:suppressAutoHyphens/>
      <w:spacing w:before="360" w:after="6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1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A32E5"/>
    <w:rPr>
      <w:rFonts w:ascii="Times New Roman" w:eastAsia="Times New Roman" w:hAnsi="Times New Roman" w:cs="Arial"/>
      <w:b/>
      <w:bCs/>
      <w:caps/>
      <w:kern w:val="32"/>
      <w:sz w:val="28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AA32E5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customStyle="1" w:styleId="a0">
    <w:name w:val="отчетный текст"/>
    <w:basedOn w:val="a"/>
    <w:rsid w:val="00AA32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597F44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597F44"/>
    <w:pPr>
      <w:suppressAutoHyphens/>
      <w:jc w:val="center"/>
    </w:pPr>
    <w:rPr>
      <w:b/>
    </w:rPr>
  </w:style>
  <w:style w:type="table" w:styleId="a5">
    <w:name w:val="Table Grid"/>
    <w:basedOn w:val="a2"/>
    <w:uiPriority w:val="59"/>
    <w:rsid w:val="00597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001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F00151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7401D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34</cp:revision>
  <cp:lastPrinted>2012-07-19T00:07:00Z</cp:lastPrinted>
  <dcterms:created xsi:type="dcterms:W3CDTF">2012-01-25T03:33:00Z</dcterms:created>
  <dcterms:modified xsi:type="dcterms:W3CDTF">2013-11-13T22:29:00Z</dcterms:modified>
</cp:coreProperties>
</file>