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A423B5">
        <w:rPr>
          <w:color w:val="auto"/>
        </w:rPr>
        <w:t>О</w:t>
      </w:r>
      <w:r w:rsidRPr="006E7304">
        <w:rPr>
          <w:color w:val="auto"/>
        </w:rPr>
        <w:t xml:space="preserve"> </w:t>
      </w:r>
      <w:r w:rsidR="00A423B5">
        <w:rPr>
          <w:color w:val="auto"/>
        </w:rPr>
        <w:t>2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BC34DE">
        <w:rPr>
          <w:color w:val="auto"/>
        </w:rPr>
        <w:t>2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AE2FF2" w:rsidRDefault="00305FA5" w:rsidP="00305FA5">
      <w:pPr>
        <w:pStyle w:val="a3"/>
      </w:pPr>
      <w:r>
        <w:t>Всего в</w:t>
      </w:r>
      <w:r w:rsidR="00A423B5">
        <w:t>о 2</w:t>
      </w:r>
      <w:r>
        <w:t xml:space="preserve"> квартале 20</w:t>
      </w:r>
      <w:r w:rsidR="001F023C">
        <w:t>2</w:t>
      </w:r>
      <w:r w:rsidR="00E212A0">
        <w:t>2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 w:rsidRPr="00AE2FF2">
        <w:t>поступило</w:t>
      </w:r>
      <w:r w:rsidRPr="00AE2FF2">
        <w:t xml:space="preserve"> </w:t>
      </w:r>
      <w:r w:rsidR="0059671A" w:rsidRPr="00AE2FF2">
        <w:t>2</w:t>
      </w:r>
      <w:r w:rsidR="00DC1CA3" w:rsidRPr="00AE2FF2">
        <w:t>45</w:t>
      </w:r>
      <w:r w:rsidR="00075AF0" w:rsidRPr="00AE2FF2">
        <w:t xml:space="preserve"> </w:t>
      </w:r>
      <w:r w:rsidRPr="00AE2FF2">
        <w:t>письменн</w:t>
      </w:r>
      <w:r w:rsidR="00B12980" w:rsidRPr="00AE2FF2">
        <w:t>ых</w:t>
      </w:r>
      <w:r w:rsidR="00C0458F" w:rsidRPr="00AE2FF2">
        <w:t xml:space="preserve"> </w:t>
      </w:r>
      <w:r w:rsidRPr="00AE2FF2">
        <w:t>обращени</w:t>
      </w:r>
      <w:r w:rsidR="00792B3F" w:rsidRPr="00AE2FF2">
        <w:t>я</w:t>
      </w:r>
      <w:r w:rsidRPr="00AE2FF2">
        <w:t xml:space="preserve"> граждан</w:t>
      </w:r>
      <w:r w:rsidR="005B53F6" w:rsidRPr="00AE2FF2">
        <w:t>, юридических лиц и индивидуальных предпринимателей с жалобами на нарушения их прав и законных интересов</w:t>
      </w:r>
      <w:r w:rsidRPr="00AE2FF2">
        <w:t xml:space="preserve">. Из них рассмотрено </w:t>
      </w:r>
      <w:r w:rsidR="00AE2FF2">
        <w:t>47</w:t>
      </w:r>
      <w:r w:rsidR="006F47C9" w:rsidRPr="00AE2FF2">
        <w:t xml:space="preserve"> </w:t>
      </w:r>
      <w:r w:rsidRPr="00AE2FF2">
        <w:t>обращени</w:t>
      </w:r>
      <w:r w:rsidR="0085225D" w:rsidRPr="00AE2FF2">
        <w:t xml:space="preserve">й, </w:t>
      </w:r>
      <w:r w:rsidR="00DC1CA3" w:rsidRPr="00AE2FF2">
        <w:t>1</w:t>
      </w:r>
      <w:r w:rsidR="00F71453" w:rsidRPr="00AE2FF2">
        <w:t>89</w:t>
      </w:r>
      <w:r w:rsidR="0085225D" w:rsidRPr="00AE2FF2">
        <w:t xml:space="preserve"> перенаправлено</w:t>
      </w:r>
      <w:r w:rsidRPr="00AE2FF2">
        <w:t xml:space="preserve">, </w:t>
      </w:r>
      <w:r w:rsidR="00AE2FF2" w:rsidRPr="00AE2FF2">
        <w:t>9</w:t>
      </w:r>
      <w:r w:rsidR="00BC34DE" w:rsidRPr="00AE2FF2">
        <w:t xml:space="preserve"> </w:t>
      </w:r>
      <w:r w:rsidRPr="00AE2FF2">
        <w:t>на</w:t>
      </w:r>
      <w:bookmarkStart w:id="1" w:name="_GoBack"/>
      <w:bookmarkEnd w:id="1"/>
      <w:r w:rsidRPr="00AE2FF2">
        <w:t xml:space="preserve">ходятся на рассмотрении. </w:t>
      </w:r>
      <w:r w:rsidR="00F10DC1" w:rsidRPr="00AE2FF2">
        <w:t>Кроме того,</w:t>
      </w:r>
      <w:r w:rsidRPr="00AE2FF2">
        <w:t xml:space="preserve"> даны разъяснения на </w:t>
      </w:r>
      <w:r w:rsidR="0085225D" w:rsidRPr="00AE2FF2">
        <w:t>1</w:t>
      </w:r>
      <w:r w:rsidR="00E04F36" w:rsidRPr="00AE2FF2">
        <w:t>4</w:t>
      </w:r>
      <w:r w:rsidR="006F47C9" w:rsidRPr="00AE2FF2">
        <w:t xml:space="preserve"> </w:t>
      </w:r>
      <w:r w:rsidRPr="00AE2FF2">
        <w:t>устны</w:t>
      </w:r>
      <w:r w:rsidR="00B12980" w:rsidRPr="00AE2FF2">
        <w:t>х</w:t>
      </w:r>
      <w:r w:rsidRPr="00AE2FF2">
        <w:t xml:space="preserve"> обращени</w:t>
      </w:r>
      <w:r w:rsidR="00B12980" w:rsidRPr="00AE2FF2">
        <w:t>й</w:t>
      </w:r>
      <w:r w:rsidRPr="00AE2FF2">
        <w:t>, поступивши</w:t>
      </w:r>
      <w:r w:rsidR="00B12980" w:rsidRPr="00AE2FF2">
        <w:t>х</w:t>
      </w:r>
      <w:r w:rsidRPr="00AE2FF2">
        <w:t xml:space="preserve"> как от граждан, так и от представителей операторов связи и других юридических лиц. </w:t>
      </w:r>
    </w:p>
    <w:p w:rsidR="00305FA5" w:rsidRPr="00AE2FF2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AE2FF2" w:rsidRPr="00AE2FF2" w:rsidTr="00F62AD1">
        <w:tc>
          <w:tcPr>
            <w:tcW w:w="3065" w:type="dxa"/>
          </w:tcPr>
          <w:p w:rsidR="009E5665" w:rsidRPr="00AE2FF2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AE2FF2" w:rsidRDefault="009E5665" w:rsidP="00933523">
            <w:pPr>
              <w:pStyle w:val="a4"/>
            </w:pPr>
            <w:r w:rsidRPr="00AE2FF2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Pr="00AE2FF2" w:rsidRDefault="009E5665" w:rsidP="001F023C">
            <w:pPr>
              <w:pStyle w:val="a4"/>
            </w:pPr>
            <w:r w:rsidRPr="00AE2FF2">
              <w:t xml:space="preserve">Изменение показателя, </w:t>
            </w:r>
          </w:p>
          <w:p w:rsidR="009E5665" w:rsidRPr="00AE2FF2" w:rsidRDefault="009E5665" w:rsidP="001F023C">
            <w:pPr>
              <w:pStyle w:val="a4"/>
            </w:pPr>
            <w:r w:rsidRPr="00AE2FF2">
              <w:t>%</w:t>
            </w:r>
          </w:p>
        </w:tc>
      </w:tr>
      <w:tr w:rsidR="00BC34DE" w:rsidRPr="00364A3F" w:rsidTr="00F62AD1">
        <w:trPr>
          <w:trHeight w:val="326"/>
        </w:trPr>
        <w:tc>
          <w:tcPr>
            <w:tcW w:w="3065" w:type="dxa"/>
          </w:tcPr>
          <w:p w:rsidR="00BC34DE" w:rsidRPr="00364A3F" w:rsidRDefault="00BC34DE" w:rsidP="00BC34D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BC34DE" w:rsidRPr="00C0458F" w:rsidRDefault="00BC34DE" w:rsidP="00BC34DE">
            <w:pPr>
              <w:pStyle w:val="a4"/>
            </w:pPr>
            <w:r w:rsidRPr="00364A3F">
              <w:t>1 кв. 20</w:t>
            </w:r>
            <w:r>
              <w:t>21</w:t>
            </w:r>
          </w:p>
        </w:tc>
        <w:tc>
          <w:tcPr>
            <w:tcW w:w="1711" w:type="dxa"/>
          </w:tcPr>
          <w:p w:rsidR="00BC34DE" w:rsidRPr="00C0458F" w:rsidRDefault="00DC1CA3" w:rsidP="00BC34DE">
            <w:pPr>
              <w:pStyle w:val="a4"/>
            </w:pPr>
            <w:r>
              <w:t>2</w:t>
            </w:r>
            <w:r w:rsidR="00BC34DE" w:rsidRPr="00364A3F">
              <w:t xml:space="preserve"> кв. 20</w:t>
            </w:r>
            <w:r w:rsidR="00BC34DE">
              <w:t>22</w:t>
            </w:r>
          </w:p>
        </w:tc>
        <w:tc>
          <w:tcPr>
            <w:tcW w:w="2831" w:type="dxa"/>
            <w:vMerge/>
          </w:tcPr>
          <w:p w:rsidR="00BC34DE" w:rsidRPr="00364A3F" w:rsidRDefault="00BC34DE" w:rsidP="00BC34DE">
            <w:pPr>
              <w:pStyle w:val="a4"/>
            </w:pPr>
          </w:p>
        </w:tc>
      </w:tr>
      <w:tr w:rsidR="00DC1CA3" w:rsidRPr="00364A3F" w:rsidTr="00F62AD1">
        <w:tc>
          <w:tcPr>
            <w:tcW w:w="3065" w:type="dxa"/>
          </w:tcPr>
          <w:p w:rsidR="00DC1CA3" w:rsidRPr="00364A3F" w:rsidRDefault="00DC1CA3" w:rsidP="00DC1CA3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DC1CA3" w:rsidRPr="0031517E" w:rsidRDefault="00DC1CA3" w:rsidP="00DC1CA3">
            <w:pPr>
              <w:pStyle w:val="a4"/>
            </w:pPr>
            <w:r>
              <w:t>175</w:t>
            </w:r>
          </w:p>
        </w:tc>
        <w:tc>
          <w:tcPr>
            <w:tcW w:w="1711" w:type="dxa"/>
          </w:tcPr>
          <w:p w:rsidR="00DC1CA3" w:rsidRPr="00E04F36" w:rsidRDefault="00F71453" w:rsidP="00DC1CA3">
            <w:pPr>
              <w:pStyle w:val="a4"/>
            </w:pPr>
            <w:r w:rsidRPr="00E04F36">
              <w:t>13</w:t>
            </w:r>
          </w:p>
        </w:tc>
        <w:tc>
          <w:tcPr>
            <w:tcW w:w="2831" w:type="dxa"/>
          </w:tcPr>
          <w:p w:rsidR="00DC1CA3" w:rsidRPr="00E04F36" w:rsidRDefault="00F00BFE" w:rsidP="00F00BFE">
            <w:pPr>
              <w:pStyle w:val="a4"/>
            </w:pPr>
            <w:r w:rsidRPr="00E04F36">
              <w:t>-</w:t>
            </w:r>
            <w:r w:rsidR="00DC1CA3" w:rsidRPr="00E04F36">
              <w:t xml:space="preserve"> </w:t>
            </w:r>
            <w:r w:rsidRPr="00E04F36">
              <w:t>92,6</w:t>
            </w:r>
          </w:p>
        </w:tc>
      </w:tr>
      <w:tr w:rsidR="00DC1CA3" w:rsidRPr="00364A3F" w:rsidTr="00F62AD1">
        <w:tc>
          <w:tcPr>
            <w:tcW w:w="3065" w:type="dxa"/>
          </w:tcPr>
          <w:p w:rsidR="00DC1CA3" w:rsidRPr="00364A3F" w:rsidRDefault="00DC1CA3" w:rsidP="00DC1CA3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DC1CA3" w:rsidRPr="0031517E" w:rsidRDefault="00DC1CA3" w:rsidP="00DC1CA3">
            <w:pPr>
              <w:pStyle w:val="a4"/>
            </w:pPr>
            <w:r>
              <w:t>22</w:t>
            </w:r>
          </w:p>
        </w:tc>
        <w:tc>
          <w:tcPr>
            <w:tcW w:w="1711" w:type="dxa"/>
          </w:tcPr>
          <w:p w:rsidR="00DC1CA3" w:rsidRPr="00E04F36" w:rsidRDefault="00DC1CA3" w:rsidP="00DC1CA3">
            <w:pPr>
              <w:pStyle w:val="a4"/>
            </w:pPr>
            <w:r w:rsidRPr="00E04F36">
              <w:t>20</w:t>
            </w:r>
          </w:p>
        </w:tc>
        <w:tc>
          <w:tcPr>
            <w:tcW w:w="2831" w:type="dxa"/>
          </w:tcPr>
          <w:p w:rsidR="00DC1CA3" w:rsidRPr="00E04F36" w:rsidRDefault="00DC1CA3" w:rsidP="00DC1CA3">
            <w:pPr>
              <w:pStyle w:val="a4"/>
            </w:pPr>
            <w:r w:rsidRPr="00E04F36">
              <w:t>- 4,5</w:t>
            </w:r>
          </w:p>
        </w:tc>
      </w:tr>
      <w:tr w:rsidR="00DC1CA3" w:rsidRPr="00364A3F" w:rsidTr="00F36851">
        <w:tc>
          <w:tcPr>
            <w:tcW w:w="3065" w:type="dxa"/>
          </w:tcPr>
          <w:p w:rsidR="00DC1CA3" w:rsidRPr="00364A3F" w:rsidRDefault="00DC1CA3" w:rsidP="00DC1CA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DC1CA3" w:rsidRPr="0031517E" w:rsidRDefault="00DC1CA3" w:rsidP="00DC1CA3">
            <w:pPr>
              <w:pStyle w:val="a4"/>
            </w:pPr>
            <w:r w:rsidRPr="00FA6E5E">
              <w:t>23</w:t>
            </w:r>
          </w:p>
        </w:tc>
        <w:tc>
          <w:tcPr>
            <w:tcW w:w="1711" w:type="dxa"/>
          </w:tcPr>
          <w:p w:rsidR="00DC1CA3" w:rsidRPr="00E04F36" w:rsidRDefault="00E04F36" w:rsidP="00DC1CA3">
            <w:pPr>
              <w:pStyle w:val="a4"/>
            </w:pPr>
            <w:r w:rsidRPr="00E04F36">
              <w:t>22</w:t>
            </w:r>
          </w:p>
        </w:tc>
        <w:tc>
          <w:tcPr>
            <w:tcW w:w="2831" w:type="dxa"/>
          </w:tcPr>
          <w:p w:rsidR="00DC1CA3" w:rsidRPr="00E04F36" w:rsidRDefault="00E04F36" w:rsidP="00E04F36">
            <w:pPr>
              <w:pStyle w:val="a4"/>
            </w:pPr>
            <w:r w:rsidRPr="00E04F36">
              <w:t>-4</w:t>
            </w:r>
            <w:r w:rsidR="00DC1CA3" w:rsidRPr="00E04F36">
              <w:t>,</w:t>
            </w:r>
            <w:r w:rsidRPr="00E04F36">
              <w:t>3</w:t>
            </w:r>
          </w:p>
        </w:tc>
      </w:tr>
      <w:tr w:rsidR="00BC34DE" w:rsidRPr="00364A3F" w:rsidTr="00F62AD1">
        <w:tc>
          <w:tcPr>
            <w:tcW w:w="3065" w:type="dxa"/>
          </w:tcPr>
          <w:p w:rsidR="00BC34DE" w:rsidRPr="00364A3F" w:rsidRDefault="009A6D6C" w:rsidP="00BC34DE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BC34DE" w:rsidRPr="0031517E" w:rsidRDefault="009A6D6C" w:rsidP="00BC34DE">
            <w:pPr>
              <w:pStyle w:val="a4"/>
            </w:pPr>
            <w:r>
              <w:t>0</w:t>
            </w:r>
          </w:p>
        </w:tc>
        <w:tc>
          <w:tcPr>
            <w:tcW w:w="1711" w:type="dxa"/>
          </w:tcPr>
          <w:p w:rsidR="00BC34DE" w:rsidRPr="00E04F36" w:rsidRDefault="00F71453" w:rsidP="00BC34DE">
            <w:pPr>
              <w:pStyle w:val="a4"/>
            </w:pPr>
            <w:r w:rsidRPr="00E04F36">
              <w:t>189</w:t>
            </w:r>
          </w:p>
        </w:tc>
        <w:tc>
          <w:tcPr>
            <w:tcW w:w="2831" w:type="dxa"/>
          </w:tcPr>
          <w:p w:rsidR="00BC34DE" w:rsidRPr="00E04F36" w:rsidRDefault="0085225D" w:rsidP="00BC34DE">
            <w:pPr>
              <w:pStyle w:val="a4"/>
            </w:pPr>
            <w:r w:rsidRPr="00E04F36">
              <w:t>+100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B66B6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6B66B6" w:rsidRPr="006B66B6" w:rsidRDefault="006B66B6" w:rsidP="006B66B6"/>
    <w:p w:rsidR="006B66B6" w:rsidRPr="006B66B6" w:rsidRDefault="006B66B6" w:rsidP="006B6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6B66B6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13 обращений граждан, относящихся к сфере массовых коммуникаций. 1 обращение находится на рассмотрении. 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11;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6B66B6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6B66B6">
        <w:rPr>
          <w:rFonts w:ascii="Times New Roman" w:eastAsia="Calibri" w:hAnsi="Times New Roman" w:cs="Times New Roman"/>
          <w:sz w:val="28"/>
          <w:szCs w:val="24"/>
        </w:rPr>
        <w:t>. телевизионных передач – 1;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>- Вопросы правового характера – 1.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11 обращений по вопросам организации деятельности сайтов (другие нарушения в социальных сетях, игровых серверах, сайтах и т.д.) в том числе, о действия ВС Российской Федерации на территории Украины и т.д.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>6 заявлений граждан, для рассмотрения поставленного в обращении вопроса, перенаправлены по подведомственности в центральный аппарат Роскомнадзора. В Трех случаях страницы сайтов в сети Интернет» были уже внесены в Единый реестр запрещенной информации по решению суда/</w:t>
      </w:r>
      <w:r w:rsidRPr="006B66B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B66B6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Генпрокуратуры РФ</w:t>
      </w:r>
      <w:r w:rsidRPr="006B66B6">
        <w:rPr>
          <w:rFonts w:ascii="Times New Roman" w:eastAsia="Calibri" w:hAnsi="Times New Roman" w:cs="Times New Roman"/>
          <w:sz w:val="28"/>
          <w:szCs w:val="24"/>
        </w:rPr>
        <w:t xml:space="preserve"> либо были недоступны, о чем разъяснено заявителям. Остальные обращения перенаправлены по принадлежности в органы прокуратуры для возможного рассмотрения вопроса о принятии мер реагирования в рамках статьи 15.3 Федерального закона от 27 июля 2006 г. № 149-ФЗ «Об информации, информационных технологиях и о защите информации».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 xml:space="preserve">Одно обращение по содержанию материалов, публикуемых в СМИ, в </w:t>
      </w:r>
      <w:proofErr w:type="spellStart"/>
      <w:r w:rsidRPr="006B66B6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6B66B6">
        <w:rPr>
          <w:rFonts w:ascii="Times New Roman" w:eastAsia="Calibri" w:hAnsi="Times New Roman" w:cs="Times New Roman"/>
          <w:sz w:val="28"/>
          <w:szCs w:val="24"/>
        </w:rPr>
        <w:t>. телевизионных передач находится на рассмотрении.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>Для рассмотрения вопроса правового характера одно обращение перенаправлено в Роскомнадзор.</w:t>
      </w:r>
    </w:p>
    <w:p w:rsidR="006B66B6" w:rsidRPr="006B66B6" w:rsidRDefault="006B66B6" w:rsidP="006B6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 xml:space="preserve">Во 2 кв. 2022 года по сравнению с аналогичным периодом 2021 года количество обращений относящихся к сфере массовых коммуникаций.  значительно уменьшилось, на 92,6%. Это объясняется тем, что в связи с внесенными изменениями в ст. 15.3 Федерального закона от 27 июля 2006 г. № 149-ФЗ «Об информации, информационных технологиях и о защите информации» ограничение доступа к информационным ресурсам, распространяющим информацию о приобретении поддельного документа, осуществляется по требованию Генерального прокурора или его заместителей. </w:t>
      </w:r>
      <w:r w:rsidR="000F6A41">
        <w:rPr>
          <w:rFonts w:ascii="Times New Roman" w:eastAsia="Calibri" w:hAnsi="Times New Roman" w:cs="Times New Roman"/>
          <w:sz w:val="28"/>
          <w:szCs w:val="24"/>
        </w:rPr>
        <w:t>Д</w:t>
      </w:r>
      <w:r w:rsidRPr="006B66B6">
        <w:rPr>
          <w:rFonts w:ascii="Times New Roman" w:eastAsia="Calibri" w:hAnsi="Times New Roman" w:cs="Times New Roman"/>
          <w:sz w:val="28"/>
          <w:szCs w:val="24"/>
        </w:rPr>
        <w:t>анные обращения квалифицировались тематикой «Вопросы, не относящиеся к деятельности Роскомнадзора».</w:t>
      </w:r>
    </w:p>
    <w:p w:rsidR="0069606A" w:rsidRPr="000F6A41" w:rsidRDefault="006B66B6" w:rsidP="000F6A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66B6">
        <w:rPr>
          <w:rFonts w:ascii="Times New Roman" w:eastAsia="Calibri" w:hAnsi="Times New Roman" w:cs="Times New Roman"/>
          <w:sz w:val="28"/>
          <w:szCs w:val="24"/>
        </w:rPr>
        <w:tab/>
        <w:t>Всего за 2 квартал 2022 года поступило 189 обращений граждан по вопросам, не относящиеся к деятельности Роскомнадзора.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DC1CA3">
        <w:rPr>
          <w:rFonts w:ascii="Times New Roman" w:hAnsi="Times New Roman" w:cs="Times New Roman"/>
          <w:sz w:val="28"/>
          <w:szCs w:val="28"/>
        </w:rPr>
        <w:t>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6D6C">
        <w:rPr>
          <w:rFonts w:ascii="Times New Roman" w:hAnsi="Times New Roman" w:cs="Times New Roman"/>
          <w:sz w:val="28"/>
          <w:szCs w:val="28"/>
        </w:rPr>
        <w:t>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A6D6C">
        <w:rPr>
          <w:rFonts w:ascii="Times New Roman" w:hAnsi="Times New Roman" w:cs="Times New Roman"/>
          <w:sz w:val="28"/>
          <w:szCs w:val="28"/>
        </w:rPr>
        <w:t>2</w:t>
      </w:r>
      <w:r w:rsidR="00DC1CA3">
        <w:rPr>
          <w:rFonts w:ascii="Times New Roman" w:hAnsi="Times New Roman" w:cs="Times New Roman"/>
          <w:sz w:val="28"/>
          <w:szCs w:val="28"/>
        </w:rPr>
        <w:t>0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2AD1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DF0494" w:rsidRDefault="009A6D6C" w:rsidP="009A6D6C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9A6D6C" w:rsidRDefault="00DC1CA3" w:rsidP="009A6D6C">
            <w:pPr>
              <w:pStyle w:val="-"/>
            </w:pPr>
            <w:r>
              <w:t>2</w:t>
            </w:r>
            <w:r w:rsidR="009A6D6C">
              <w:t xml:space="preserve"> кв. </w:t>
            </w:r>
          </w:p>
          <w:p w:rsidR="009A6D6C" w:rsidRDefault="009A6D6C" w:rsidP="009A6D6C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6" w:type="pct"/>
          </w:tcPr>
          <w:p w:rsidR="009A6D6C" w:rsidRDefault="00ED0D8D" w:rsidP="009A6D6C">
            <w:pPr>
              <w:pStyle w:val="-"/>
            </w:pPr>
            <w:r>
              <w:t>2</w:t>
            </w:r>
            <w:r w:rsidR="009A6D6C">
              <w:t xml:space="preserve"> кв. </w:t>
            </w:r>
          </w:p>
          <w:p w:rsidR="009A6D6C" w:rsidRPr="00DF0494" w:rsidRDefault="009A6D6C" w:rsidP="009A6D6C">
            <w:pPr>
              <w:pStyle w:val="-"/>
            </w:pPr>
            <w:r w:rsidRPr="00DF0494">
              <w:t>20</w:t>
            </w:r>
            <w:r>
              <w:t>22 г.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6C5B87" w:rsidRDefault="00DC1CA3" w:rsidP="009A6D6C">
            <w:pPr>
              <w:pStyle w:val="a4"/>
            </w:pPr>
            <w:r>
              <w:t>АО</w:t>
            </w:r>
            <w:r w:rsidR="009A6D6C" w:rsidRPr="006C5B87">
              <w:t xml:space="preserve"> </w:t>
            </w:r>
            <w:r w:rsidR="009A6D6C">
              <w:t>«</w:t>
            </w:r>
            <w:r w:rsidR="009A6D6C" w:rsidRPr="006C5B87">
              <w:t>Почта России</w:t>
            </w:r>
            <w:r w:rsidR="009A6D6C">
              <w:t>»</w:t>
            </w:r>
          </w:p>
        </w:tc>
        <w:tc>
          <w:tcPr>
            <w:tcW w:w="507" w:type="pct"/>
            <w:vAlign w:val="center"/>
          </w:tcPr>
          <w:p w:rsidR="009A6D6C" w:rsidRDefault="00DC1CA3" w:rsidP="009A6D6C">
            <w:pPr>
              <w:pStyle w:val="a4"/>
            </w:pPr>
            <w:r>
              <w:t>17</w:t>
            </w:r>
          </w:p>
        </w:tc>
        <w:tc>
          <w:tcPr>
            <w:tcW w:w="506" w:type="pct"/>
            <w:vAlign w:val="center"/>
          </w:tcPr>
          <w:p w:rsidR="009A6D6C" w:rsidRPr="009A6D6C" w:rsidRDefault="00ED0D8D" w:rsidP="009A6D6C">
            <w:pPr>
              <w:pStyle w:val="a4"/>
            </w:pPr>
            <w:r>
              <w:t>8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6C5B87" w:rsidRDefault="009A6D6C" w:rsidP="009A6D6C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9A6D6C" w:rsidRDefault="00DC1CA3" w:rsidP="009A6D6C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9A6D6C" w:rsidRPr="009A6D6C" w:rsidRDefault="00DF7AC8" w:rsidP="009A6D6C">
            <w:pPr>
              <w:pStyle w:val="a4"/>
            </w:pPr>
            <w:r>
              <w:t>4</w:t>
            </w:r>
          </w:p>
        </w:tc>
      </w:tr>
      <w:tr w:rsidR="00DC1CA3" w:rsidRPr="006C5B87" w:rsidTr="00B02B96">
        <w:trPr>
          <w:cantSplit/>
          <w:trHeight w:val="300"/>
        </w:trPr>
        <w:tc>
          <w:tcPr>
            <w:tcW w:w="3987" w:type="pct"/>
            <w:noWrap/>
            <w:hideMark/>
          </w:tcPr>
          <w:p w:rsidR="00DC1CA3" w:rsidRPr="006C5B87" w:rsidRDefault="00DC1CA3" w:rsidP="00B02B96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DC1CA3" w:rsidRDefault="00DC1CA3" w:rsidP="00B02B96">
            <w:pPr>
              <w:pStyle w:val="a4"/>
            </w:pPr>
            <w:r w:rsidRPr="009F59ED">
              <w:t>0</w:t>
            </w:r>
          </w:p>
        </w:tc>
        <w:tc>
          <w:tcPr>
            <w:tcW w:w="506" w:type="pct"/>
            <w:vAlign w:val="center"/>
          </w:tcPr>
          <w:p w:rsidR="00DC1CA3" w:rsidRPr="009A6D6C" w:rsidRDefault="00DC1CA3" w:rsidP="00B02B96">
            <w:pPr>
              <w:pStyle w:val="a4"/>
            </w:pPr>
            <w:r w:rsidRPr="009A6D6C">
              <w:t>2</w:t>
            </w:r>
          </w:p>
        </w:tc>
      </w:tr>
      <w:tr w:rsidR="00DC1CA3" w:rsidRPr="006C5B87" w:rsidTr="006A47A1">
        <w:trPr>
          <w:cantSplit/>
          <w:trHeight w:val="300"/>
        </w:trPr>
        <w:tc>
          <w:tcPr>
            <w:tcW w:w="3987" w:type="pct"/>
            <w:noWrap/>
          </w:tcPr>
          <w:p w:rsidR="00DC1CA3" w:rsidRDefault="00DC1CA3" w:rsidP="006A47A1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DC1CA3" w:rsidRDefault="00DC1CA3" w:rsidP="006A47A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DC1CA3" w:rsidRPr="009A6D6C" w:rsidRDefault="00DC1CA3" w:rsidP="006A47A1">
            <w:pPr>
              <w:pStyle w:val="a4"/>
            </w:pPr>
            <w:r w:rsidRPr="009A6D6C">
              <w:t>0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</w:tcPr>
          <w:p w:rsidR="009A6D6C" w:rsidRPr="006C5B87" w:rsidRDefault="009A6D6C" w:rsidP="009A6D6C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2</w:t>
            </w:r>
          </w:p>
        </w:tc>
        <w:tc>
          <w:tcPr>
            <w:tcW w:w="506" w:type="pct"/>
            <w:vAlign w:val="center"/>
          </w:tcPr>
          <w:p w:rsidR="009A6D6C" w:rsidRPr="009A6D6C" w:rsidRDefault="00DF7AC8" w:rsidP="009A6D6C">
            <w:pPr>
              <w:pStyle w:val="a4"/>
            </w:pPr>
            <w:r>
              <w:t>3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</w:tcPr>
          <w:p w:rsidR="009A6D6C" w:rsidRDefault="009A6D6C" w:rsidP="009A6D6C">
            <w:pPr>
              <w:pStyle w:val="a4"/>
            </w:pPr>
            <w:r>
              <w:t>ООО «СДЭК»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1</w:t>
            </w:r>
          </w:p>
        </w:tc>
      </w:tr>
      <w:tr w:rsidR="00ED0D8D" w:rsidRPr="006C5B87" w:rsidTr="00C2683A">
        <w:trPr>
          <w:cantSplit/>
          <w:trHeight w:val="300"/>
        </w:trPr>
        <w:tc>
          <w:tcPr>
            <w:tcW w:w="3987" w:type="pct"/>
            <w:noWrap/>
            <w:hideMark/>
          </w:tcPr>
          <w:p w:rsidR="00ED0D8D" w:rsidRPr="00DB12D1" w:rsidRDefault="00ED0D8D" w:rsidP="00C2683A">
            <w:pPr>
              <w:pStyle w:val="a4"/>
            </w:pPr>
            <w:r>
              <w:rPr>
                <w:color w:val="000000"/>
              </w:rPr>
              <w:t xml:space="preserve">ООО «Т2 </w:t>
            </w:r>
            <w:proofErr w:type="spellStart"/>
            <w:r>
              <w:rPr>
                <w:color w:val="000000"/>
              </w:rPr>
              <w:t>Мобайл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07" w:type="pct"/>
            <w:vAlign w:val="center"/>
          </w:tcPr>
          <w:p w:rsidR="00ED0D8D" w:rsidRDefault="00ED0D8D" w:rsidP="00C2683A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ED0D8D" w:rsidRPr="009A6D6C" w:rsidRDefault="00ED0D8D" w:rsidP="00C2683A">
            <w:pPr>
              <w:pStyle w:val="a4"/>
            </w:pPr>
            <w:r>
              <w:t>1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DB12D1" w:rsidRDefault="009A6D6C" w:rsidP="009A6D6C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1</w:t>
            </w:r>
          </w:p>
        </w:tc>
        <w:tc>
          <w:tcPr>
            <w:tcW w:w="506" w:type="pct"/>
            <w:vAlign w:val="center"/>
          </w:tcPr>
          <w:p w:rsidR="009A6D6C" w:rsidRPr="009A6D6C" w:rsidRDefault="00DF7AC8" w:rsidP="009A6D6C">
            <w:pPr>
              <w:pStyle w:val="a4"/>
            </w:pPr>
            <w:r>
              <w:t>1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9A6D6C" w:rsidRPr="0016486A" w:rsidRDefault="00DF7AC8" w:rsidP="009A6D6C">
            <w:pPr>
              <w:pStyle w:val="a4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  <w:rPr>
                <w:b/>
              </w:rPr>
            </w:pPr>
            <w:r w:rsidRPr="009A6D6C">
              <w:rPr>
                <w:b/>
              </w:rPr>
              <w:t>2</w:t>
            </w:r>
            <w:r w:rsidR="00DF7AC8">
              <w:rPr>
                <w:b/>
              </w:rPr>
              <w:t>0</w:t>
            </w:r>
          </w:p>
        </w:tc>
      </w:tr>
    </w:tbl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4058"/>
        <w:gridCol w:w="3571"/>
        <w:gridCol w:w="972"/>
        <w:gridCol w:w="968"/>
      </w:tblGrid>
      <w:tr w:rsidR="009A6D6C" w:rsidRPr="00A262EE" w:rsidTr="009A6D6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9A6D6C" w:rsidRDefault="009A6D6C" w:rsidP="009A6D6C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9A6D6C" w:rsidRDefault="009A6D6C" w:rsidP="009A6D6C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9A6D6C" w:rsidRDefault="00DF7AC8" w:rsidP="009A6D6C">
            <w:pPr>
              <w:pStyle w:val="-"/>
            </w:pPr>
            <w:r>
              <w:t>2</w:t>
            </w:r>
            <w:r w:rsidR="009A6D6C">
              <w:t xml:space="preserve"> кв. </w:t>
            </w:r>
          </w:p>
          <w:p w:rsidR="009A6D6C" w:rsidRDefault="009A6D6C" w:rsidP="009A6D6C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7" w:type="pct"/>
          </w:tcPr>
          <w:p w:rsidR="009A6D6C" w:rsidRPr="005A2E1F" w:rsidRDefault="00DF7AC8" w:rsidP="009A6D6C">
            <w:pPr>
              <w:pStyle w:val="-"/>
            </w:pPr>
            <w:r>
              <w:t>2</w:t>
            </w:r>
            <w:r w:rsidR="009A6D6C" w:rsidRPr="005A2E1F">
              <w:t xml:space="preserve"> кв. </w:t>
            </w:r>
          </w:p>
          <w:p w:rsidR="009A6D6C" w:rsidRPr="005A2E1F" w:rsidRDefault="009A6D6C" w:rsidP="009A6D6C">
            <w:pPr>
              <w:pStyle w:val="-"/>
            </w:pPr>
            <w:r w:rsidRPr="005A2E1F">
              <w:t>2022 г.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9A6D6C" w:rsidRPr="000B1F2F" w:rsidRDefault="009A6D6C" w:rsidP="009A6D6C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9A6D6C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9A6D6C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9A6D6C" w:rsidRPr="007F43DC" w:rsidRDefault="009A6D6C" w:rsidP="009A6D6C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9A6D6C" w:rsidRPr="00A262EE" w:rsidRDefault="009A6D6C" w:rsidP="009A6D6C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9A6D6C" w:rsidRDefault="00DF7AC8" w:rsidP="009A6D6C">
            <w:pPr>
              <w:pStyle w:val="a4"/>
            </w:pPr>
            <w:r>
              <w:t>12</w:t>
            </w:r>
          </w:p>
        </w:tc>
        <w:tc>
          <w:tcPr>
            <w:tcW w:w="507" w:type="pct"/>
            <w:vAlign w:val="center"/>
          </w:tcPr>
          <w:p w:rsidR="009A6D6C" w:rsidRPr="005A2E1F" w:rsidRDefault="008E06E5" w:rsidP="009A6D6C">
            <w:pPr>
              <w:pStyle w:val="a4"/>
            </w:pPr>
            <w:r>
              <w:t>2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  <w:hideMark/>
          </w:tcPr>
          <w:p w:rsidR="009A6D6C" w:rsidRPr="000B1F2F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9A6D6C" w:rsidRDefault="00DF7AC8" w:rsidP="009A6D6C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9A6D6C" w:rsidRPr="005A2E1F" w:rsidRDefault="00DF7AC8" w:rsidP="009A6D6C">
            <w:pPr>
              <w:pStyle w:val="a4"/>
            </w:pPr>
            <w:r>
              <w:t>5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</w:tcPr>
          <w:p w:rsidR="009A6D6C" w:rsidRPr="00A262EE" w:rsidRDefault="009A6D6C" w:rsidP="009A6D6C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8E06E5" w:rsidP="009A6D6C">
            <w:pPr>
              <w:pStyle w:val="a4"/>
            </w:pPr>
            <w:r>
              <w:t>2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9A6D6C" w:rsidRDefault="00DF7AC8" w:rsidP="009A6D6C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5A2E1F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9A6D6C" w:rsidRDefault="00DF7AC8" w:rsidP="009A6D6C">
            <w:pPr>
              <w:pStyle w:val="a4"/>
            </w:pPr>
            <w:r>
              <w:t>7</w:t>
            </w:r>
          </w:p>
        </w:tc>
        <w:tc>
          <w:tcPr>
            <w:tcW w:w="507" w:type="pct"/>
            <w:vAlign w:val="center"/>
          </w:tcPr>
          <w:p w:rsidR="009A6D6C" w:rsidRPr="005A2E1F" w:rsidRDefault="00DF7AC8" w:rsidP="009A6D6C">
            <w:pPr>
              <w:pStyle w:val="a4"/>
            </w:pPr>
            <w:r>
              <w:t>1</w:t>
            </w:r>
            <w:r w:rsidR="008E06E5">
              <w:t>1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9A6D6C" w:rsidRPr="0016486A" w:rsidRDefault="00DF7AC8" w:rsidP="009A6D6C">
            <w:pPr>
              <w:pStyle w:val="a4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7" w:type="pct"/>
            <w:vAlign w:val="center"/>
          </w:tcPr>
          <w:p w:rsidR="009A6D6C" w:rsidRPr="005A2E1F" w:rsidRDefault="00DF7AC8" w:rsidP="009A6D6C">
            <w:pPr>
              <w:pStyle w:val="a4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5A2E1F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5A2E1F" w:rsidRPr="003D4784" w:rsidRDefault="005A2E1F" w:rsidP="005A2E1F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5A2E1F" w:rsidRPr="009F59ED" w:rsidRDefault="008E06E5" w:rsidP="005A2E1F">
            <w:pPr>
              <w:pStyle w:val="-"/>
            </w:pPr>
            <w:r>
              <w:t>2</w:t>
            </w:r>
            <w:r w:rsidR="005A2E1F" w:rsidRPr="009F59ED">
              <w:t xml:space="preserve"> кв. </w:t>
            </w:r>
          </w:p>
          <w:p w:rsidR="005A2E1F" w:rsidRPr="00DF0494" w:rsidRDefault="005A2E1F" w:rsidP="005A2E1F">
            <w:pPr>
              <w:pStyle w:val="-"/>
            </w:pPr>
            <w:r w:rsidRPr="009F59ED">
              <w:t>2021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5A2E1F" w:rsidRPr="009F59ED" w:rsidRDefault="008E06E5" w:rsidP="005A2E1F">
            <w:pPr>
              <w:pStyle w:val="-"/>
            </w:pPr>
            <w:r>
              <w:t>2</w:t>
            </w:r>
            <w:r w:rsidR="005A2E1F" w:rsidRPr="009F59ED">
              <w:t xml:space="preserve"> кв. </w:t>
            </w:r>
          </w:p>
          <w:p w:rsidR="005A2E1F" w:rsidRPr="009F59ED" w:rsidRDefault="005A2E1F" w:rsidP="005A2E1F">
            <w:pPr>
              <w:pStyle w:val="-"/>
            </w:pPr>
            <w:r w:rsidRPr="009F59ED">
              <w:t>202</w:t>
            </w:r>
            <w:r>
              <w:t>2</w:t>
            </w:r>
            <w:r w:rsidRPr="009F59ED">
              <w:t xml:space="preserve"> г.</w:t>
            </w:r>
          </w:p>
        </w:tc>
      </w:tr>
      <w:tr w:rsidR="008E06E5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8E06E5" w:rsidRPr="003D4784" w:rsidRDefault="008E06E5" w:rsidP="008E06E5">
            <w:pPr>
              <w:pStyle w:val="a4"/>
              <w:jc w:val="center"/>
            </w:pPr>
            <w:r>
              <w:t>17 (77%)</w:t>
            </w:r>
          </w:p>
        </w:tc>
        <w:tc>
          <w:tcPr>
            <w:tcW w:w="870" w:type="pct"/>
            <w:vAlign w:val="center"/>
          </w:tcPr>
          <w:p w:rsidR="008E06E5" w:rsidRPr="000E6879" w:rsidRDefault="008E06E5" w:rsidP="000E6879">
            <w:pPr>
              <w:pStyle w:val="a4"/>
              <w:jc w:val="center"/>
            </w:pPr>
            <w:r w:rsidRPr="000E6879">
              <w:t>8 (</w:t>
            </w:r>
            <w:r w:rsidR="000E6879" w:rsidRPr="000E6879">
              <w:t>40</w:t>
            </w:r>
            <w:r w:rsidRPr="000E6879">
              <w:t>%)</w:t>
            </w:r>
          </w:p>
        </w:tc>
      </w:tr>
      <w:tr w:rsidR="008E06E5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  <w:rPr>
                <w:highlight w:val="yellow"/>
              </w:rPr>
            </w:pPr>
            <w:r>
              <w:t>1 (4,5%)</w:t>
            </w:r>
          </w:p>
        </w:tc>
        <w:tc>
          <w:tcPr>
            <w:tcW w:w="870" w:type="pct"/>
            <w:vAlign w:val="center"/>
          </w:tcPr>
          <w:p w:rsidR="008E06E5" w:rsidRPr="000E6879" w:rsidRDefault="008E06E5" w:rsidP="000E6879">
            <w:pPr>
              <w:pStyle w:val="a4"/>
              <w:jc w:val="center"/>
            </w:pPr>
            <w:r w:rsidRPr="000E6879">
              <w:t>4 (</w:t>
            </w:r>
            <w:r w:rsidR="000E6879" w:rsidRPr="000E6879">
              <w:t>20</w:t>
            </w:r>
            <w:r w:rsidRPr="000E6879">
              <w:t>%)</w:t>
            </w:r>
          </w:p>
        </w:tc>
      </w:tr>
      <w:tr w:rsidR="008E06E5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B23F42" w:rsidRDefault="008E06E5" w:rsidP="008E06E5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</w:pPr>
            <w:r w:rsidRPr="008E06E5"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8E06E5" w:rsidP="000E6879">
            <w:pPr>
              <w:pStyle w:val="a4"/>
              <w:jc w:val="center"/>
            </w:pPr>
            <w:r w:rsidRPr="000E6879">
              <w:t>1 (5%)</w:t>
            </w:r>
          </w:p>
        </w:tc>
      </w:tr>
      <w:tr w:rsidR="008E06E5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E06E5" w:rsidRPr="003D4784" w:rsidRDefault="008E06E5" w:rsidP="008E06E5">
            <w:pPr>
              <w:pStyle w:val="a4"/>
              <w:jc w:val="center"/>
            </w:pPr>
            <w:r>
              <w:t>4 (18%)</w:t>
            </w:r>
          </w:p>
        </w:tc>
        <w:tc>
          <w:tcPr>
            <w:tcW w:w="870" w:type="pct"/>
            <w:vAlign w:val="center"/>
          </w:tcPr>
          <w:p w:rsidR="008E06E5" w:rsidRPr="000E6879" w:rsidRDefault="008E06E5" w:rsidP="000E6879">
            <w:pPr>
              <w:pStyle w:val="a4"/>
              <w:jc w:val="center"/>
            </w:pPr>
            <w:r w:rsidRPr="000E6879">
              <w:t>3 (</w:t>
            </w:r>
            <w:r w:rsidR="000E6879" w:rsidRPr="000E6879">
              <w:t>1</w:t>
            </w:r>
            <w:r w:rsidRPr="000E6879">
              <w:t>5%)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Pr="003D4784" w:rsidRDefault="008E06E5" w:rsidP="008E06E5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</w:pPr>
            <w:r w:rsidRPr="008E06E5"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4C46F6" w:rsidP="000E6879">
            <w:pPr>
              <w:pStyle w:val="a4"/>
              <w:jc w:val="center"/>
            </w:pPr>
            <w:r w:rsidRPr="000E6879">
              <w:t>1</w:t>
            </w:r>
            <w:r w:rsidR="008E06E5" w:rsidRPr="000E6879">
              <w:t xml:space="preserve"> (</w:t>
            </w:r>
            <w:r w:rsidR="000E6879" w:rsidRPr="000E6879">
              <w:t>5</w:t>
            </w:r>
            <w:r w:rsidR="008E06E5" w:rsidRPr="000E6879">
              <w:t>%)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</w:pPr>
            <w:r w:rsidRPr="008E06E5">
              <w:t xml:space="preserve">0 </w:t>
            </w:r>
          </w:p>
        </w:tc>
        <w:tc>
          <w:tcPr>
            <w:tcW w:w="870" w:type="pct"/>
            <w:vAlign w:val="center"/>
          </w:tcPr>
          <w:p w:rsidR="008E06E5" w:rsidRPr="000E6879" w:rsidRDefault="004C46F6" w:rsidP="008E06E5">
            <w:pPr>
              <w:pStyle w:val="a4"/>
              <w:jc w:val="center"/>
            </w:pPr>
            <w:r w:rsidRPr="000E6879">
              <w:t>0</w:t>
            </w:r>
            <w:r w:rsidR="008E06E5" w:rsidRPr="000E6879">
              <w:t xml:space="preserve"> 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Pr="003D4784" w:rsidRDefault="008E06E5" w:rsidP="008E06E5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</w:pPr>
            <w:r w:rsidRPr="008E06E5">
              <w:t xml:space="preserve">0 </w:t>
            </w:r>
          </w:p>
        </w:tc>
        <w:tc>
          <w:tcPr>
            <w:tcW w:w="870" w:type="pct"/>
            <w:vAlign w:val="center"/>
          </w:tcPr>
          <w:p w:rsidR="008E06E5" w:rsidRPr="000E6879" w:rsidRDefault="004C46F6" w:rsidP="008E06E5">
            <w:pPr>
              <w:pStyle w:val="a4"/>
              <w:jc w:val="center"/>
            </w:pPr>
            <w:r w:rsidRPr="000E6879">
              <w:t>0</w:t>
            </w:r>
            <w:r w:rsidR="008E06E5" w:rsidRPr="000E6879">
              <w:t xml:space="preserve"> 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Default="008E06E5" w:rsidP="008E06E5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</w:pPr>
            <w:r w:rsidRPr="008E06E5"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4C46F6" w:rsidP="000E6879">
            <w:pPr>
              <w:pStyle w:val="a4"/>
              <w:jc w:val="center"/>
            </w:pPr>
            <w:r w:rsidRPr="000E6879">
              <w:t>3</w:t>
            </w:r>
            <w:r w:rsidR="008E06E5" w:rsidRPr="000E6879">
              <w:t xml:space="preserve"> (</w:t>
            </w:r>
            <w:r w:rsidR="000E6879" w:rsidRPr="000E6879">
              <w:t>15</w:t>
            </w:r>
            <w:r w:rsidR="008E06E5" w:rsidRPr="000E6879">
              <w:t>%)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Default="008E06E5" w:rsidP="008E06E5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  <w:rPr>
                <w:lang w:val="en-US"/>
              </w:rPr>
            </w:pPr>
            <w:r w:rsidRPr="008E06E5"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8E06E5" w:rsidP="008E06E5">
            <w:pPr>
              <w:pStyle w:val="a4"/>
              <w:jc w:val="center"/>
            </w:pPr>
            <w:r w:rsidRPr="000E6879">
              <w:t>0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E06E5" w:rsidRPr="009F59ED" w:rsidRDefault="008E06E5" w:rsidP="008E06E5">
            <w:pPr>
              <w:pStyle w:val="a4"/>
              <w:jc w:val="center"/>
            </w:pPr>
            <w:r>
              <w:t>0</w:t>
            </w:r>
            <w:r w:rsidRPr="009F59ED">
              <w:t xml:space="preserve"> </w:t>
            </w:r>
          </w:p>
        </w:tc>
      </w:tr>
    </w:tbl>
    <w:p w:rsidR="00734237" w:rsidRDefault="00734237" w:rsidP="009F59ED">
      <w:pPr>
        <w:pStyle w:val="a3"/>
      </w:pPr>
    </w:p>
    <w:p w:rsidR="000E6879" w:rsidRDefault="00252BE2" w:rsidP="000E6879">
      <w:pPr>
        <w:pStyle w:val="a3"/>
      </w:pPr>
      <w:r w:rsidRPr="000E6879">
        <w:t>Как видно из представленной информации в</w:t>
      </w:r>
      <w:r w:rsidR="004C46F6" w:rsidRPr="000E6879">
        <w:t>о</w:t>
      </w:r>
      <w:r w:rsidRPr="000E6879">
        <w:t xml:space="preserve"> </w:t>
      </w:r>
      <w:r w:rsidR="004C46F6" w:rsidRPr="000E6879">
        <w:t>2</w:t>
      </w:r>
      <w:r w:rsidRPr="000E6879">
        <w:t xml:space="preserve"> кв. 2022 года по</w:t>
      </w:r>
      <w:r w:rsidRPr="00A32815">
        <w:t xml:space="preserve"> сравнению с аналогичным периодом 202</w:t>
      </w:r>
      <w:r>
        <w:t>1</w:t>
      </w:r>
      <w:r w:rsidRPr="00A32815">
        <w:t xml:space="preserve"> года количество обращений </w:t>
      </w:r>
      <w:r w:rsidR="000E6879">
        <w:t xml:space="preserve">незначительно </w:t>
      </w:r>
      <w:r w:rsidRPr="00A32815">
        <w:t xml:space="preserve">уменьшилось на </w:t>
      </w:r>
      <w:r>
        <w:t>4</w:t>
      </w:r>
      <w:r w:rsidR="000E6879">
        <w:t>,5</w:t>
      </w:r>
      <w:r w:rsidRPr="00A32815">
        <w:t xml:space="preserve">%. В первую очередь это связано с уменьшением </w:t>
      </w:r>
      <w:r>
        <w:t xml:space="preserve">на </w:t>
      </w:r>
      <w:r w:rsidR="000E6879">
        <w:t>53</w:t>
      </w:r>
      <w:r>
        <w:t xml:space="preserve">% </w:t>
      </w:r>
      <w:r w:rsidRPr="00A32815">
        <w:t>количества обращений по вопросам предоставления услуг почтовой связи в связи со стабилизацией обстановки на МСЦ Петропавловск-Камчатский и, как следствие, соблюдение оператором связи сроков пересылки почтовых отправлений.</w:t>
      </w:r>
    </w:p>
    <w:p w:rsidR="000E6879" w:rsidRPr="000E6879" w:rsidRDefault="000E6879" w:rsidP="000E6879">
      <w:pPr>
        <w:pStyle w:val="a3"/>
      </w:pPr>
    </w:p>
    <w:p w:rsidR="00933523" w:rsidRPr="0085225D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AE2FF2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734237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F6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F6A41">
        <w:rPr>
          <w:rFonts w:ascii="Times New Roman" w:hAnsi="Times New Roman" w:cs="Times New Roman"/>
          <w:sz w:val="28"/>
          <w:szCs w:val="28"/>
        </w:rPr>
        <w:t>2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6A41">
        <w:rPr>
          <w:rFonts w:ascii="Times New Roman" w:hAnsi="Times New Roman" w:cs="Times New Roman"/>
          <w:sz w:val="28"/>
          <w:szCs w:val="28"/>
        </w:rPr>
        <w:t>2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3B72">
        <w:rPr>
          <w:rFonts w:ascii="Times New Roman" w:hAnsi="Times New Roman" w:cs="Times New Roman"/>
          <w:sz w:val="28"/>
          <w:szCs w:val="28"/>
        </w:rPr>
        <w:t>я</w:t>
      </w:r>
      <w:r w:rsidR="00867BAA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</w:t>
      </w:r>
      <w:r w:rsidR="00F84491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7C3B72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7C3B72" w:rsidRPr="006D36AB" w:rsidTr="007C3B72">
        <w:trPr>
          <w:trHeight w:val="300"/>
        </w:trPr>
        <w:tc>
          <w:tcPr>
            <w:tcW w:w="1351" w:type="dxa"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7C3B72" w:rsidRPr="006D36AB" w:rsidRDefault="000F6A41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C3B72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7C3B72" w:rsidRPr="006D36AB" w:rsidRDefault="000F6A41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3" w:type="dxa"/>
            <w:vAlign w:val="center"/>
          </w:tcPr>
          <w:p w:rsidR="007C3B72" w:rsidRPr="006D36AB" w:rsidRDefault="000F6A41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7C3B72" w:rsidRPr="006D36AB" w:rsidRDefault="000F6A41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6D36AB" w:rsidRPr="006D36AB" w:rsidTr="007C3B72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734237" w:rsidP="000F6A4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0F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0F6A4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F84491" w:rsidRPr="006D36AB" w:rsidRDefault="00B165F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3" w:type="dxa"/>
            <w:vAlign w:val="center"/>
          </w:tcPr>
          <w:p w:rsidR="00F84491" w:rsidRPr="006D36AB" w:rsidRDefault="000F6A41" w:rsidP="00B165F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16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867BAA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F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B165F2"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нарушениях прав и законных интересов граждан или информацию о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нарушениях прав третьих лиц, неограниченного круга лиц, поступившие на действия (по категориям операторов):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B165F2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165F2" w:rsidRDefault="00B165F2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 – 2;</w:t>
      </w:r>
    </w:p>
    <w:p w:rsidR="00B165F2" w:rsidRDefault="00B165F2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1;</w:t>
      </w:r>
    </w:p>
    <w:p w:rsidR="00B165F2" w:rsidRPr="0018587F" w:rsidRDefault="00B165F2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образовательных организаций – 1;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B165F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Pr="0018587F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7C3B72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165F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67BAA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</w:t>
      </w:r>
      <w:r w:rsidR="009E5665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</w:t>
      </w:r>
      <w:r w:rsidR="009F664C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E5665" w:rsidRDefault="00B165F2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E5665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E5665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="009E5665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4237" w:rsidRDefault="00DB3510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 </w:t>
      </w:r>
      <w:r w:rsidR="0073423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="00734237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734237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 по применению Федерального закона № 152-ФЗ «О персональных данных»,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="00734237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DB3510" w:rsidRDefault="00DB3510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обращение содержало в</w:t>
      </w:r>
      <w:r w:rsidRP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>опросы по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включению в</w:t>
      </w:r>
      <w:r w:rsidRP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реестр операторов, обрабатывающих персональные данные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З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разъяснен порядок направления уведомления об обработке (о намерении осуществлять обработку) персональных данных.</w:t>
      </w:r>
    </w:p>
    <w:p w:rsidR="00DB3510" w:rsidRDefault="00DB3510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 поступило 2 з</w:t>
      </w:r>
      <w:r w:rsidRP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>аявлени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 ознакомлении с материалами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обращения. Заявителям разъяснен порядок, произведено ознакомление.</w:t>
      </w:r>
    </w:p>
    <w:p w:rsidR="00734237" w:rsidRPr="00F60F3D" w:rsidRDefault="007C3B72" w:rsidP="00AE2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 рассмотрено одно обращение</w:t>
      </w:r>
      <w:r w:rsid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>, содержащее доводы о несогл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>асии с предоставленным ответом,</w:t>
      </w:r>
      <w:r w:rsid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обвинени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>е сотрудников</w:t>
      </w:r>
      <w:r w:rsid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должностном подлоге и </w:t>
      </w:r>
      <w:r w:rsidR="00DB3510">
        <w:rPr>
          <w:rFonts w:ascii="Times New Roman" w:eastAsia="Times New Roman" w:hAnsi="Times New Roman" w:cs="Times New Roman"/>
          <w:sz w:val="28"/>
          <w:szCs w:val="20"/>
          <w:lang w:eastAsia="ar-SA"/>
        </w:rPr>
        <w:t>коррупционном правонарушении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результатам рассмотрения обращения </w:t>
      </w:r>
      <w:r w:rsidR="00AE2FF2" w:rsidRP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признаков коррупционного правонарушения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E2FF2" w:rsidRP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>установлено,</w:t>
      </w:r>
      <w:r w:rsidR="00AE2FF2" w:rsidRP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>заявителю даны разъяснения.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части доводов о должностном подлоге </w:t>
      </w:r>
      <w:r w:rsidR="00AE2F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обращение перенаправлено в УМВД России по Камчатскому краю. </w:t>
      </w:r>
    </w:p>
    <w:sectPr w:rsidR="00734237" w:rsidRPr="00F60F3D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E6879"/>
    <w:rsid w:val="000F37E3"/>
    <w:rsid w:val="000F6A41"/>
    <w:rsid w:val="00107268"/>
    <w:rsid w:val="001106F8"/>
    <w:rsid w:val="0012052D"/>
    <w:rsid w:val="001603C2"/>
    <w:rsid w:val="0016486A"/>
    <w:rsid w:val="00180843"/>
    <w:rsid w:val="0018206B"/>
    <w:rsid w:val="00183277"/>
    <w:rsid w:val="0018587F"/>
    <w:rsid w:val="001A21DC"/>
    <w:rsid w:val="001C0EBE"/>
    <w:rsid w:val="001C2B23"/>
    <w:rsid w:val="001E7745"/>
    <w:rsid w:val="001F023C"/>
    <w:rsid w:val="00200B5B"/>
    <w:rsid w:val="0020745D"/>
    <w:rsid w:val="00235712"/>
    <w:rsid w:val="00251A26"/>
    <w:rsid w:val="00252BE2"/>
    <w:rsid w:val="002534F7"/>
    <w:rsid w:val="00255E92"/>
    <w:rsid w:val="00260DD9"/>
    <w:rsid w:val="00262C89"/>
    <w:rsid w:val="00274798"/>
    <w:rsid w:val="00286B3F"/>
    <w:rsid w:val="00295F4F"/>
    <w:rsid w:val="002E45AE"/>
    <w:rsid w:val="002E5642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A1042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C46F6"/>
    <w:rsid w:val="004D7816"/>
    <w:rsid w:val="005207BD"/>
    <w:rsid w:val="00525A32"/>
    <w:rsid w:val="00531042"/>
    <w:rsid w:val="0055246F"/>
    <w:rsid w:val="00554A17"/>
    <w:rsid w:val="00562195"/>
    <w:rsid w:val="00567DE6"/>
    <w:rsid w:val="005762E7"/>
    <w:rsid w:val="005802D2"/>
    <w:rsid w:val="00581D3C"/>
    <w:rsid w:val="0059671A"/>
    <w:rsid w:val="005A2E1F"/>
    <w:rsid w:val="005A4E96"/>
    <w:rsid w:val="005B0C64"/>
    <w:rsid w:val="005B38C4"/>
    <w:rsid w:val="005B3FA3"/>
    <w:rsid w:val="005B53F6"/>
    <w:rsid w:val="005F06EB"/>
    <w:rsid w:val="005F204E"/>
    <w:rsid w:val="005F4618"/>
    <w:rsid w:val="006120B4"/>
    <w:rsid w:val="00623EC6"/>
    <w:rsid w:val="00667033"/>
    <w:rsid w:val="006860D9"/>
    <w:rsid w:val="0069606A"/>
    <w:rsid w:val="006A6006"/>
    <w:rsid w:val="006B19C8"/>
    <w:rsid w:val="006B66B6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4237"/>
    <w:rsid w:val="007355E1"/>
    <w:rsid w:val="00745AD8"/>
    <w:rsid w:val="00792B3F"/>
    <w:rsid w:val="007B4A13"/>
    <w:rsid w:val="007B7B20"/>
    <w:rsid w:val="007C3B72"/>
    <w:rsid w:val="007E3B34"/>
    <w:rsid w:val="007F335A"/>
    <w:rsid w:val="00800CF6"/>
    <w:rsid w:val="00810131"/>
    <w:rsid w:val="0085225D"/>
    <w:rsid w:val="008657F5"/>
    <w:rsid w:val="00867BAA"/>
    <w:rsid w:val="00875F2E"/>
    <w:rsid w:val="00893C41"/>
    <w:rsid w:val="008A09FF"/>
    <w:rsid w:val="008A766F"/>
    <w:rsid w:val="008C6792"/>
    <w:rsid w:val="008D06A0"/>
    <w:rsid w:val="008E06E5"/>
    <w:rsid w:val="008F09F8"/>
    <w:rsid w:val="009148C1"/>
    <w:rsid w:val="009278B6"/>
    <w:rsid w:val="009321F1"/>
    <w:rsid w:val="00933523"/>
    <w:rsid w:val="00940BC8"/>
    <w:rsid w:val="00995A2C"/>
    <w:rsid w:val="009A305A"/>
    <w:rsid w:val="009A6D6C"/>
    <w:rsid w:val="009B4465"/>
    <w:rsid w:val="009C2759"/>
    <w:rsid w:val="009D4FE6"/>
    <w:rsid w:val="009E5665"/>
    <w:rsid w:val="009F5248"/>
    <w:rsid w:val="009F59ED"/>
    <w:rsid w:val="009F664C"/>
    <w:rsid w:val="00A015E7"/>
    <w:rsid w:val="00A22D17"/>
    <w:rsid w:val="00A35866"/>
    <w:rsid w:val="00A423B5"/>
    <w:rsid w:val="00A50540"/>
    <w:rsid w:val="00A66E2F"/>
    <w:rsid w:val="00A672C3"/>
    <w:rsid w:val="00A734D7"/>
    <w:rsid w:val="00AB0F4C"/>
    <w:rsid w:val="00AE2527"/>
    <w:rsid w:val="00AE2FF2"/>
    <w:rsid w:val="00AE74E5"/>
    <w:rsid w:val="00B0118B"/>
    <w:rsid w:val="00B04677"/>
    <w:rsid w:val="00B1156E"/>
    <w:rsid w:val="00B12980"/>
    <w:rsid w:val="00B165F2"/>
    <w:rsid w:val="00B23F42"/>
    <w:rsid w:val="00B31338"/>
    <w:rsid w:val="00B451C2"/>
    <w:rsid w:val="00B64E1B"/>
    <w:rsid w:val="00B7204F"/>
    <w:rsid w:val="00B779FB"/>
    <w:rsid w:val="00BA0F88"/>
    <w:rsid w:val="00BB5AFA"/>
    <w:rsid w:val="00BC34DE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E5FC2"/>
    <w:rsid w:val="00CF036E"/>
    <w:rsid w:val="00CF725C"/>
    <w:rsid w:val="00D1262F"/>
    <w:rsid w:val="00D152F5"/>
    <w:rsid w:val="00D77DB0"/>
    <w:rsid w:val="00D80A9F"/>
    <w:rsid w:val="00D92AFA"/>
    <w:rsid w:val="00DA0272"/>
    <w:rsid w:val="00DB3510"/>
    <w:rsid w:val="00DC1CA3"/>
    <w:rsid w:val="00DC38BD"/>
    <w:rsid w:val="00DC3F45"/>
    <w:rsid w:val="00DE3385"/>
    <w:rsid w:val="00DF22A9"/>
    <w:rsid w:val="00DF7AC8"/>
    <w:rsid w:val="00E04F36"/>
    <w:rsid w:val="00E16C08"/>
    <w:rsid w:val="00E212A0"/>
    <w:rsid w:val="00E237FB"/>
    <w:rsid w:val="00E36CAC"/>
    <w:rsid w:val="00EB485A"/>
    <w:rsid w:val="00EC17C7"/>
    <w:rsid w:val="00EC3D39"/>
    <w:rsid w:val="00EC6532"/>
    <w:rsid w:val="00ED0D8D"/>
    <w:rsid w:val="00ED3687"/>
    <w:rsid w:val="00ED4DCB"/>
    <w:rsid w:val="00EE2B8C"/>
    <w:rsid w:val="00EE6B3E"/>
    <w:rsid w:val="00EF02D0"/>
    <w:rsid w:val="00F00BFE"/>
    <w:rsid w:val="00F06DC0"/>
    <w:rsid w:val="00F10DC1"/>
    <w:rsid w:val="00F21FA0"/>
    <w:rsid w:val="00F2398B"/>
    <w:rsid w:val="00F26ADE"/>
    <w:rsid w:val="00F408FB"/>
    <w:rsid w:val="00F52FCD"/>
    <w:rsid w:val="00F52FD8"/>
    <w:rsid w:val="00F60F3D"/>
    <w:rsid w:val="00F62AD1"/>
    <w:rsid w:val="00F71453"/>
    <w:rsid w:val="00F769D8"/>
    <w:rsid w:val="00F84491"/>
    <w:rsid w:val="00F853C7"/>
    <w:rsid w:val="00F90E0C"/>
    <w:rsid w:val="00FA0EF9"/>
    <w:rsid w:val="00FA3B06"/>
    <w:rsid w:val="00FC12AD"/>
    <w:rsid w:val="00FE3613"/>
    <w:rsid w:val="00FE4D7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D615-9C63-402C-8F19-4AC56F06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11</cp:revision>
  <cp:lastPrinted>2014-11-10T04:33:00Z</cp:lastPrinted>
  <dcterms:created xsi:type="dcterms:W3CDTF">2022-07-01T11:11:00Z</dcterms:created>
  <dcterms:modified xsi:type="dcterms:W3CDTF">2022-07-05T10:14:00Z</dcterms:modified>
</cp:coreProperties>
</file>