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8624BE">
        <w:rPr>
          <w:color w:val="auto"/>
        </w:rPr>
        <w:t>6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580571" w:rsidRDefault="00580571" w:rsidP="00580571">
      <w:pPr>
        <w:pStyle w:val="a3"/>
      </w:pPr>
      <w:r w:rsidRPr="00D0384F">
        <w:t>Всего в 201</w:t>
      </w:r>
      <w:r w:rsidR="008624BE" w:rsidRPr="00D0384F">
        <w:t>6</w:t>
      </w:r>
      <w:r w:rsidRPr="00D0384F">
        <w:t xml:space="preserve"> году в адрес Управления поступило </w:t>
      </w:r>
      <w:r w:rsidR="008624BE" w:rsidRPr="00D0384F">
        <w:t>20</w:t>
      </w:r>
      <w:r w:rsidR="004F1B64" w:rsidRPr="00D0384F">
        <w:t>1</w:t>
      </w:r>
      <w:r w:rsidRPr="00D0384F">
        <w:t xml:space="preserve"> письменных обращени</w:t>
      </w:r>
      <w:r w:rsidR="007F434B" w:rsidRPr="00D0384F">
        <w:t>й</w:t>
      </w:r>
      <w:r w:rsidRPr="00D0384F">
        <w:t xml:space="preserve"> с жалобами граждан Российской Федерации. Из них рассмотрено </w:t>
      </w:r>
      <w:r w:rsidR="00D92421" w:rsidRPr="00D0384F">
        <w:t>18</w:t>
      </w:r>
      <w:r w:rsidR="004F1B64" w:rsidRPr="00D0384F">
        <w:t>6</w:t>
      </w:r>
      <w:r w:rsidRPr="00D0384F">
        <w:t xml:space="preserve"> обращени</w:t>
      </w:r>
      <w:r w:rsidR="00396377" w:rsidRPr="00D0384F">
        <w:t>й</w:t>
      </w:r>
      <w:r w:rsidRPr="00D0384F">
        <w:t xml:space="preserve">, </w:t>
      </w:r>
      <w:r w:rsidR="00D92421" w:rsidRPr="00D0384F">
        <w:t>15</w:t>
      </w:r>
      <w:r w:rsidRPr="00D0384F">
        <w:t xml:space="preserve"> </w:t>
      </w:r>
      <w:r w:rsidR="007F434B" w:rsidRPr="00D0384F">
        <w:t xml:space="preserve">– </w:t>
      </w:r>
      <w:r w:rsidRPr="00D0384F">
        <w:t>наход</w:t>
      </w:r>
      <w:r w:rsidR="00761566" w:rsidRPr="00D0384F">
        <w:t>и</w:t>
      </w:r>
      <w:r w:rsidRPr="00D0384F">
        <w:t>тся на рассмотрении.</w:t>
      </w: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580571" w:rsidTr="00580571">
        <w:tc>
          <w:tcPr>
            <w:tcW w:w="4361" w:type="dxa"/>
          </w:tcPr>
          <w:p w:rsidR="00580571" w:rsidRPr="00362B05" w:rsidRDefault="00580571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80571" w:rsidRPr="00362B05" w:rsidRDefault="00580571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9D3503" w:rsidRPr="00362B05" w:rsidRDefault="009D3503" w:rsidP="009D350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605" w:type="dxa"/>
          </w:tcPr>
          <w:p w:rsidR="009D3503" w:rsidRPr="00362B05" w:rsidRDefault="009D3503" w:rsidP="009D350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9D3503" w:rsidRPr="00362B05" w:rsidRDefault="009D3503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9D3503" w:rsidRPr="00362B05" w:rsidRDefault="002069FE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9D3503" w:rsidRPr="00362B05" w:rsidRDefault="009D3503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05" w:type="dxa"/>
          </w:tcPr>
          <w:p w:rsidR="009D3503" w:rsidRPr="00362B05" w:rsidRDefault="007A7B92" w:rsidP="002069F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C1D2E">
              <w:rPr>
                <w:sz w:val="24"/>
                <w:szCs w:val="24"/>
              </w:rPr>
              <w:t>2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9D3503" w:rsidRPr="00362B05" w:rsidRDefault="009D3503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9D3503" w:rsidRPr="00362B05" w:rsidRDefault="002069FE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D3503" w:rsidTr="00580571">
        <w:tc>
          <w:tcPr>
            <w:tcW w:w="4361" w:type="dxa"/>
          </w:tcPr>
          <w:p w:rsidR="009D3503" w:rsidRPr="00362B05" w:rsidRDefault="009D3503" w:rsidP="009D3503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05" w:type="dxa"/>
          </w:tcPr>
          <w:p w:rsidR="009D3503" w:rsidRDefault="00235170" w:rsidP="009D35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605" w:type="dxa"/>
          </w:tcPr>
          <w:p w:rsidR="009D3503" w:rsidRPr="00362B05" w:rsidRDefault="00F4742D" w:rsidP="00E610C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5418">
              <w:rPr>
                <w:sz w:val="24"/>
                <w:szCs w:val="24"/>
              </w:rPr>
              <w:t>1</w:t>
            </w:r>
            <w:r w:rsidR="00AE1E4D">
              <w:rPr>
                <w:sz w:val="24"/>
                <w:szCs w:val="24"/>
              </w:rPr>
              <w:t xml:space="preserve"> (+4</w:t>
            </w:r>
            <w:r w:rsidR="00E610CD">
              <w:rPr>
                <w:sz w:val="24"/>
                <w:szCs w:val="24"/>
              </w:rPr>
              <w:t>4</w:t>
            </w:r>
            <w:r w:rsidR="00AE1E4D">
              <w:rPr>
                <w:sz w:val="24"/>
                <w:szCs w:val="24"/>
              </w:rPr>
              <w:t>,</w:t>
            </w:r>
            <w:r w:rsidR="00E610CD">
              <w:rPr>
                <w:sz w:val="24"/>
                <w:szCs w:val="24"/>
              </w:rPr>
              <w:t>6</w:t>
            </w:r>
            <w:r w:rsidR="00AE1E4D">
              <w:rPr>
                <w:sz w:val="24"/>
                <w:szCs w:val="24"/>
              </w:rPr>
              <w:t xml:space="preserve"> %)</w:t>
            </w:r>
          </w:p>
        </w:tc>
      </w:tr>
    </w:tbl>
    <w:p w:rsidR="006D7533" w:rsidRPr="006D7533" w:rsidRDefault="006D7533" w:rsidP="00580571">
      <w:pPr>
        <w:pStyle w:val="a3"/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79012B">
        <w:rPr>
          <w:b/>
        </w:rPr>
        <w:t>Работа с обращениями в сфере СМИ</w:t>
      </w:r>
    </w:p>
    <w:p w:rsidR="008D7772" w:rsidRPr="008D7772" w:rsidRDefault="00580571" w:rsidP="00E41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887C7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году в адрес Управления поступило </w:t>
      </w:r>
      <w:r w:rsidR="000A39C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A389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обращений по вопросам, </w:t>
      </w:r>
      <w:r w:rsidRPr="00580571">
        <w:rPr>
          <w:rFonts w:ascii="Times New Roman" w:hAnsi="Times New Roman" w:cs="Times New Roman"/>
          <w:sz w:val="28"/>
          <w:szCs w:val="28"/>
        </w:rPr>
        <w:t xml:space="preserve">относящимся к сфере массовых коммуникаций. </w:t>
      </w:r>
      <w:r w:rsidR="00F6558B">
        <w:rPr>
          <w:rFonts w:ascii="Times New Roman" w:hAnsi="Times New Roman" w:cs="Times New Roman"/>
          <w:sz w:val="28"/>
          <w:szCs w:val="28"/>
        </w:rPr>
        <w:t>Все обращения рассмотрены.</w:t>
      </w:r>
    </w:p>
    <w:p w:rsidR="00F6558B" w:rsidRPr="00BB51FA" w:rsidRDefault="00F6558B" w:rsidP="00F65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Два обращения касались публикации в газете информации, порочащей честь и достоинство граждан, а также разжигающей </w:t>
      </w:r>
      <w:r w:rsidRP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межконфессиональн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ую рознь. Обращения касались одной и той же статьи, вместе с тем, в одном из них содержалась, также, жалоба на нарушение ст. </w:t>
      </w:r>
      <w:r w:rsidRPr="00CD306E">
        <w:rPr>
          <w:rFonts w:ascii="Times New Roman" w:eastAsia="Times New Roman" w:hAnsi="Times New Roman" w:cs="Times New Roman"/>
          <w:sz w:val="28"/>
          <w:szCs w:val="20"/>
          <w:lang w:eastAsia="ar-SA"/>
        </w:rPr>
        <w:t>44 закона об СМИ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Нарушений в ходе рассмотрения не установлено. Заявителям направлены соответствующие ответы.</w:t>
      </w:r>
    </w:p>
    <w:p w:rsidR="00F6558B" w:rsidRPr="00BB51FA" w:rsidRDefault="007337A1" w:rsidP="00F65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</w:t>
      </w:r>
      <w:r w:rsidR="00F6558B"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6558B"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касались сведений, публикуемых на Интернет-сайтах,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не зарегистрированных в качестве</w:t>
      </w: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558B"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массовой информации. </w:t>
      </w:r>
      <w:r w:rsidR="00F65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даны разъяснения.</w:t>
      </w:r>
      <w:r w:rsidRPr="007337A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Два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таких обращений был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органы прокуратуры и МВД, поскольку имелись признаки распространения запрещенной информации.</w:t>
      </w:r>
    </w:p>
    <w:p w:rsidR="007337A1" w:rsidRDefault="00F6558B" w:rsidP="00733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обращение касалось непосредственно деятельности </w:t>
      </w:r>
      <w:r w:rsidR="007337A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редакции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СМИ, нарушение не подтвердилось, заявителю было разъяснено.</w:t>
      </w:r>
    </w:p>
    <w:p w:rsidR="00F6558B" w:rsidRPr="007337A1" w:rsidRDefault="007337A1" w:rsidP="00733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обращение касалось </w:t>
      </w:r>
      <w:r w:rsidR="00F6558B" w:rsidRPr="00353D6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558B" w:rsidRPr="00353D6D">
        <w:rPr>
          <w:rFonts w:ascii="Times New Roman" w:hAnsi="Times New Roman" w:cs="Times New Roman"/>
          <w:sz w:val="28"/>
          <w:szCs w:val="28"/>
        </w:rPr>
        <w:t xml:space="preserve"> возможных нарушений законов Российской Федерации при регистрации СМИ. Нарушения законодательства установлены не были, заявителю направлены соответствующие разъяснения.</w:t>
      </w:r>
    </w:p>
    <w:p w:rsidR="00F6558B" w:rsidRPr="0004370A" w:rsidRDefault="00F6558B" w:rsidP="00F655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>Одно обращение касалось незаконного распространения в качестве агитационного материала газеты «Вести Камчатка» и информации</w:t>
      </w:r>
      <w:r w:rsidR="007337A1">
        <w:rPr>
          <w:rFonts w:ascii="Times New Roman" w:hAnsi="Times New Roman" w:cs="Times New Roman"/>
          <w:sz w:val="28"/>
          <w:szCs w:val="28"/>
        </w:rPr>
        <w:t>,</w:t>
      </w:r>
      <w:r w:rsidRPr="0004370A">
        <w:rPr>
          <w:rFonts w:ascii="Times New Roman" w:hAnsi="Times New Roman" w:cs="Times New Roman"/>
          <w:sz w:val="28"/>
          <w:szCs w:val="28"/>
        </w:rPr>
        <w:t xml:space="preserve"> порочащей честь, достоинство и деловую репутацию гражданина в данном печатном издании, информация не подтвердилась.</w:t>
      </w:r>
    </w:p>
    <w:p w:rsidR="008D7772" w:rsidRDefault="00F6558B" w:rsidP="007337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>По одно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обращению гражданину даны разъяснения по применению Федерального закона от 29.12.2010 № 436-ФЗ «О защите детей от информации, причиняющей вред их здоровью и развитию».</w:t>
      </w:r>
    </w:p>
    <w:p w:rsidR="00580571" w:rsidRPr="00580571" w:rsidRDefault="00580571" w:rsidP="00580571">
      <w:pPr>
        <w:pStyle w:val="4"/>
        <w:rPr>
          <w:b/>
        </w:rPr>
      </w:pPr>
      <w:r w:rsidRPr="00580571">
        <w:rPr>
          <w:b/>
        </w:rPr>
        <w:lastRenderedPageBreak/>
        <w:t>Работа с обращениями граждан в сфере связи</w:t>
      </w:r>
    </w:p>
    <w:p w:rsidR="00B57BDB" w:rsidRPr="003D4784" w:rsidRDefault="00B57BDB" w:rsidP="00B57BDB">
      <w:pPr>
        <w:pStyle w:val="a3"/>
      </w:pPr>
      <w:r w:rsidRPr="003D4784">
        <w:t>В 201</w:t>
      </w:r>
      <w:r w:rsidR="00F6558B" w:rsidRPr="00F6558B">
        <w:t>6</w:t>
      </w:r>
      <w:r w:rsidRPr="003D4784">
        <w:t xml:space="preserve"> году в адрес Управления поступило </w:t>
      </w:r>
      <w:r w:rsidR="00865488">
        <w:t>122</w:t>
      </w:r>
      <w:r w:rsidRPr="003D4784">
        <w:t xml:space="preserve"> обращени</w:t>
      </w:r>
      <w:r w:rsidR="0024765E">
        <w:t>я</w:t>
      </w:r>
      <w:r w:rsidRPr="003D4784">
        <w:t xml:space="preserve"> по вопросам, относящимся к сфере связи. Список лиц, действия которых обжаловались, представлены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B57BDB" w:rsidRPr="003D4784" w:rsidTr="00AE14CE">
        <w:trPr>
          <w:trHeight w:val="167"/>
        </w:trPr>
        <w:tc>
          <w:tcPr>
            <w:tcW w:w="3537" w:type="pct"/>
            <w:vMerge w:val="restart"/>
            <w:noWrap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Наименование лица, действия которого обжалуются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</w:t>
            </w:r>
          </w:p>
        </w:tc>
      </w:tr>
      <w:tr w:rsidR="009805DE" w:rsidRPr="003D4784" w:rsidTr="00AE14CE">
        <w:trPr>
          <w:trHeight w:val="368"/>
        </w:trPr>
        <w:tc>
          <w:tcPr>
            <w:tcW w:w="3537" w:type="pct"/>
            <w:vMerge/>
            <w:noWrap/>
            <w:hideMark/>
          </w:tcPr>
          <w:p w:rsidR="009805DE" w:rsidRPr="003D4784" w:rsidRDefault="009805DE" w:rsidP="009805DE">
            <w:pPr>
              <w:pStyle w:val="-"/>
            </w:pPr>
          </w:p>
        </w:tc>
        <w:tc>
          <w:tcPr>
            <w:tcW w:w="74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9805DE" w:rsidRPr="003D4784" w:rsidRDefault="009805DE" w:rsidP="009805DE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9805DE" w:rsidRPr="003D4784" w:rsidRDefault="009805DE" w:rsidP="009805DE">
            <w:pPr>
              <w:pStyle w:val="-"/>
            </w:pPr>
            <w:r>
              <w:t>2016</w:t>
            </w:r>
            <w:r w:rsidR="00231CA7">
              <w:t xml:space="preserve"> г.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 xml:space="preserve">ФГУП </w:t>
            </w:r>
            <w:r>
              <w:t>«</w:t>
            </w:r>
            <w:r w:rsidRPr="003D4784">
              <w:t>Почта России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36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56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>В обращении не определено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21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10244A">
            <w:pPr>
              <w:pStyle w:val="-"/>
            </w:pPr>
            <w:r>
              <w:t>2</w:t>
            </w:r>
            <w:r w:rsidR="0010244A">
              <w:t>3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Ростелеком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7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21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Мобильные ТелеСистемы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8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11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Вымпел-Коммуникации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1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6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 xml:space="preserve">ОАО </w:t>
            </w:r>
            <w:r>
              <w:t>«</w:t>
            </w:r>
            <w:r w:rsidRPr="003D4784">
              <w:t>МегаФон</w:t>
            </w:r>
            <w:r>
              <w:t>»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4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2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</w:tcPr>
          <w:p w:rsidR="00661829" w:rsidRPr="003D4784" w:rsidRDefault="00661829" w:rsidP="00661829">
            <w:pPr>
              <w:pStyle w:val="a4"/>
            </w:pPr>
            <w:r w:rsidRPr="00C4497A">
              <w:t>Публичное акционерное общество "Сбербанк России"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1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 0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</w:tcPr>
          <w:p w:rsidR="00661829" w:rsidRPr="00C4497A" w:rsidRDefault="00661829" w:rsidP="00661829">
            <w:pPr>
              <w:pStyle w:val="a4"/>
            </w:pPr>
            <w:r w:rsidRPr="00C4497A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741" w:type="pct"/>
            <w:vAlign w:val="center"/>
          </w:tcPr>
          <w:p w:rsidR="00661829" w:rsidRDefault="00661829" w:rsidP="00661829">
            <w:pPr>
              <w:pStyle w:val="a4"/>
              <w:jc w:val="center"/>
            </w:pPr>
            <w:r>
              <w:t>1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 0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</w:tcPr>
          <w:p w:rsidR="00661829" w:rsidRPr="00C4497A" w:rsidRDefault="00661829" w:rsidP="00661829">
            <w:pPr>
              <w:pStyle w:val="a4"/>
            </w:pPr>
            <w:r w:rsidRPr="00F81A19">
              <w:t>ИП Томкевич А.В.</w:t>
            </w:r>
          </w:p>
        </w:tc>
        <w:tc>
          <w:tcPr>
            <w:tcW w:w="741" w:type="pct"/>
            <w:vAlign w:val="center"/>
          </w:tcPr>
          <w:p w:rsidR="00661829" w:rsidRDefault="00661829" w:rsidP="00661829">
            <w:pPr>
              <w:pStyle w:val="a4"/>
              <w:jc w:val="center"/>
            </w:pPr>
            <w:r>
              <w:t>0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2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</w:tcPr>
          <w:p w:rsidR="00661829" w:rsidRPr="00F81A19" w:rsidRDefault="00661829" w:rsidP="00661829">
            <w:pPr>
              <w:pStyle w:val="a4"/>
            </w:pPr>
            <w:r>
              <w:rPr>
                <w:color w:val="000000"/>
              </w:rPr>
              <w:t>ОАО</w:t>
            </w:r>
            <w:r w:rsidRPr="00DB6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DB6CDF">
              <w:rPr>
                <w:color w:val="000000"/>
              </w:rPr>
              <w:t>Дальневосточный ипотечный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741" w:type="pct"/>
            <w:vAlign w:val="center"/>
          </w:tcPr>
          <w:p w:rsidR="00661829" w:rsidRDefault="00661829" w:rsidP="00661829">
            <w:pPr>
              <w:pStyle w:val="a4"/>
              <w:jc w:val="center"/>
            </w:pPr>
            <w:r>
              <w:t>0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661829">
            <w:pPr>
              <w:pStyle w:val="-"/>
            </w:pPr>
            <w:r>
              <w:t>1</w:t>
            </w:r>
          </w:p>
        </w:tc>
      </w:tr>
      <w:tr w:rsidR="00661829" w:rsidRPr="003D4784" w:rsidTr="00AE14CE">
        <w:trPr>
          <w:trHeight w:val="300"/>
        </w:trPr>
        <w:tc>
          <w:tcPr>
            <w:tcW w:w="3537" w:type="pct"/>
            <w:noWrap/>
            <w:hideMark/>
          </w:tcPr>
          <w:p w:rsidR="00661829" w:rsidRPr="003D4784" w:rsidRDefault="00661829" w:rsidP="00661829">
            <w:pPr>
              <w:pStyle w:val="a4"/>
            </w:pPr>
            <w:r w:rsidRPr="003D4784">
              <w:t>Общий итог</w:t>
            </w:r>
          </w:p>
        </w:tc>
        <w:tc>
          <w:tcPr>
            <w:tcW w:w="741" w:type="pct"/>
            <w:vAlign w:val="center"/>
          </w:tcPr>
          <w:p w:rsidR="00661829" w:rsidRPr="003D4784" w:rsidRDefault="00661829" w:rsidP="00661829">
            <w:pPr>
              <w:pStyle w:val="a4"/>
              <w:jc w:val="center"/>
            </w:pPr>
            <w:r>
              <w:t>78</w:t>
            </w:r>
          </w:p>
        </w:tc>
        <w:tc>
          <w:tcPr>
            <w:tcW w:w="722" w:type="pct"/>
            <w:noWrap/>
            <w:vAlign w:val="center"/>
          </w:tcPr>
          <w:p w:rsidR="00661829" w:rsidRDefault="00661829" w:rsidP="008F7DD2">
            <w:pPr>
              <w:pStyle w:val="-"/>
            </w:pPr>
            <w:r>
              <w:t> 12</w:t>
            </w:r>
            <w:r w:rsidR="008F7DD2">
              <w:t>2</w:t>
            </w:r>
          </w:p>
        </w:tc>
      </w:tr>
    </w:tbl>
    <w:p w:rsidR="00B57BDB" w:rsidRPr="003D4784" w:rsidRDefault="00B57BDB" w:rsidP="00B57BDB">
      <w:pPr>
        <w:pStyle w:val="a3"/>
      </w:pPr>
    </w:p>
    <w:p w:rsidR="00B57BDB" w:rsidRPr="003D4784" w:rsidRDefault="00B57BDB" w:rsidP="00B57BDB">
      <w:pPr>
        <w:pStyle w:val="a3"/>
      </w:pPr>
      <w:r w:rsidRPr="00C03A27">
        <w:t>Итоги рассмотрения обращений граждан: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403"/>
        <w:gridCol w:w="1612"/>
        <w:gridCol w:w="1614"/>
      </w:tblGrid>
      <w:tr w:rsidR="00B57BDB" w:rsidRPr="003D4784" w:rsidTr="00AE14CE">
        <w:trPr>
          <w:trHeight w:val="207"/>
        </w:trPr>
        <w:tc>
          <w:tcPr>
            <w:tcW w:w="1537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Проведение внеплановой проверки</w:t>
            </w:r>
          </w:p>
        </w:tc>
        <w:tc>
          <w:tcPr>
            <w:tcW w:w="1778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Итог рассмотрения обращения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vAlign w:val="center"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</w:t>
            </w:r>
          </w:p>
        </w:tc>
      </w:tr>
      <w:tr w:rsidR="003218B2" w:rsidRPr="003D4784" w:rsidTr="003218B2">
        <w:trPr>
          <w:trHeight w:val="330"/>
        </w:trPr>
        <w:tc>
          <w:tcPr>
            <w:tcW w:w="1537" w:type="pct"/>
            <w:vMerge/>
            <w:noWrap/>
            <w:vAlign w:val="center"/>
            <w:hideMark/>
          </w:tcPr>
          <w:p w:rsidR="003218B2" w:rsidRPr="003D4784" w:rsidRDefault="003218B2" w:rsidP="003218B2">
            <w:pPr>
              <w:pStyle w:val="-"/>
            </w:pPr>
          </w:p>
        </w:tc>
        <w:tc>
          <w:tcPr>
            <w:tcW w:w="1778" w:type="pct"/>
            <w:vMerge/>
            <w:noWrap/>
            <w:vAlign w:val="center"/>
            <w:hideMark/>
          </w:tcPr>
          <w:p w:rsidR="003218B2" w:rsidRPr="003D4784" w:rsidRDefault="003218B2" w:rsidP="003218B2">
            <w:pPr>
              <w:pStyle w:val="-"/>
            </w:pP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3218B2" w:rsidRDefault="003218B2" w:rsidP="004931D6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noWrap/>
            <w:vAlign w:val="center"/>
          </w:tcPr>
          <w:p w:rsidR="003218B2" w:rsidRDefault="003218B2" w:rsidP="004931D6">
            <w:pPr>
              <w:pStyle w:val="-"/>
            </w:pPr>
            <w:r w:rsidRPr="003D4784">
              <w:t>201</w:t>
            </w:r>
            <w:r>
              <w:t>6</w:t>
            </w:r>
            <w:r w:rsidRPr="003D4784">
              <w:t xml:space="preserve"> г.</w:t>
            </w:r>
          </w:p>
        </w:tc>
      </w:tr>
      <w:tr w:rsidR="003218B2" w:rsidRPr="003D4784" w:rsidTr="00AE14CE">
        <w:tc>
          <w:tcPr>
            <w:tcW w:w="1537" w:type="pct"/>
            <w:vMerge w:val="restart"/>
            <w:noWrap/>
            <w:hideMark/>
          </w:tcPr>
          <w:p w:rsidR="003218B2" w:rsidRPr="003D4784" w:rsidRDefault="003218B2" w:rsidP="003218B2">
            <w:pPr>
              <w:pStyle w:val="a4"/>
            </w:pPr>
            <w:r w:rsidRPr="003D4784">
              <w:t>проведена</w:t>
            </w:r>
          </w:p>
        </w:tc>
        <w:tc>
          <w:tcPr>
            <w:tcW w:w="1778" w:type="pct"/>
            <w:noWrap/>
            <w:hideMark/>
          </w:tcPr>
          <w:p w:rsidR="003218B2" w:rsidRPr="003D4784" w:rsidRDefault="003218B2" w:rsidP="003218B2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3218B2" w:rsidRPr="003D4784" w:rsidRDefault="003218B2" w:rsidP="004931D6">
            <w:pPr>
              <w:pStyle w:val="-"/>
            </w:pPr>
            <w:r>
              <w:t>8</w:t>
            </w:r>
          </w:p>
        </w:tc>
        <w:tc>
          <w:tcPr>
            <w:tcW w:w="843" w:type="pct"/>
            <w:noWrap/>
            <w:vAlign w:val="center"/>
          </w:tcPr>
          <w:p w:rsidR="003218B2" w:rsidRPr="003D4784" w:rsidRDefault="00AD55C7" w:rsidP="004931D6">
            <w:pPr>
              <w:pStyle w:val="-"/>
            </w:pPr>
            <w:r>
              <w:t>0</w:t>
            </w:r>
          </w:p>
        </w:tc>
      </w:tr>
      <w:tr w:rsidR="003218B2" w:rsidRPr="003D4784" w:rsidTr="00AE14CE">
        <w:tc>
          <w:tcPr>
            <w:tcW w:w="1537" w:type="pct"/>
            <w:vMerge/>
            <w:noWrap/>
            <w:hideMark/>
          </w:tcPr>
          <w:p w:rsidR="003218B2" w:rsidRPr="003D4784" w:rsidRDefault="003218B2" w:rsidP="003218B2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3218B2" w:rsidRPr="003D4784" w:rsidRDefault="003218B2" w:rsidP="003218B2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3218B2" w:rsidRPr="003D4784" w:rsidRDefault="003218B2" w:rsidP="004931D6">
            <w:pPr>
              <w:pStyle w:val="-"/>
            </w:pPr>
            <w:r>
              <w:t>1</w:t>
            </w:r>
          </w:p>
        </w:tc>
        <w:tc>
          <w:tcPr>
            <w:tcW w:w="843" w:type="pct"/>
            <w:noWrap/>
            <w:vAlign w:val="center"/>
          </w:tcPr>
          <w:p w:rsidR="003218B2" w:rsidRPr="003D4784" w:rsidRDefault="00AD55C7" w:rsidP="004931D6">
            <w:pPr>
              <w:pStyle w:val="-"/>
            </w:pPr>
            <w:r>
              <w:t>0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 w:val="restar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не проведена</w:t>
            </w: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меры приняты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6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20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4931D6" w:rsidRPr="003D4784" w:rsidRDefault="004931D6" w:rsidP="004931D6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на рассмотрении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1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12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4931D6" w:rsidRPr="003D4784" w:rsidRDefault="004931D6" w:rsidP="004931D6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переадресовано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13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10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4931D6" w:rsidRPr="003D4784" w:rsidRDefault="004931D6" w:rsidP="004931D6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разъяснено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43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67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4931D6" w:rsidRPr="003D4784" w:rsidRDefault="004931D6" w:rsidP="004931D6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решено положительно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5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10</w:t>
            </w:r>
          </w:p>
        </w:tc>
      </w:tr>
      <w:tr w:rsidR="004931D6" w:rsidRPr="003D4784" w:rsidTr="00AE14CE">
        <w:trPr>
          <w:trHeight w:val="300"/>
        </w:trPr>
        <w:tc>
          <w:tcPr>
            <w:tcW w:w="1537" w:type="pct"/>
            <w:vMerge/>
            <w:noWrap/>
            <w:hideMark/>
          </w:tcPr>
          <w:p w:rsidR="004931D6" w:rsidRPr="003D4784" w:rsidRDefault="004931D6" w:rsidP="004931D6">
            <w:pPr>
              <w:pStyle w:val="a4"/>
            </w:pPr>
          </w:p>
        </w:tc>
        <w:tc>
          <w:tcPr>
            <w:tcW w:w="1778" w:type="pct"/>
            <w:noWrap/>
            <w:hideMark/>
          </w:tcPr>
          <w:p w:rsidR="004931D6" w:rsidRPr="003D4784" w:rsidRDefault="004931D6" w:rsidP="004931D6">
            <w:pPr>
              <w:pStyle w:val="a4"/>
            </w:pPr>
            <w:r w:rsidRPr="003D4784">
              <w:t>отказано</w:t>
            </w:r>
          </w:p>
        </w:tc>
        <w:tc>
          <w:tcPr>
            <w:tcW w:w="842" w:type="pct"/>
            <w:vAlign w:val="center"/>
          </w:tcPr>
          <w:p w:rsidR="004931D6" w:rsidRPr="003D4784" w:rsidRDefault="004931D6" w:rsidP="004931D6">
            <w:pPr>
              <w:pStyle w:val="-"/>
            </w:pPr>
            <w:r>
              <w:t>1</w:t>
            </w:r>
          </w:p>
        </w:tc>
        <w:tc>
          <w:tcPr>
            <w:tcW w:w="843" w:type="pct"/>
            <w:noWrap/>
            <w:vAlign w:val="center"/>
          </w:tcPr>
          <w:p w:rsidR="004931D6" w:rsidRDefault="004931D6" w:rsidP="004931D6">
            <w:pPr>
              <w:pStyle w:val="-"/>
            </w:pPr>
            <w:r>
              <w:t>3</w:t>
            </w:r>
          </w:p>
        </w:tc>
      </w:tr>
      <w:tr w:rsidR="003218B2" w:rsidRPr="003D4784" w:rsidTr="00AE14CE">
        <w:trPr>
          <w:trHeight w:val="300"/>
        </w:trPr>
        <w:tc>
          <w:tcPr>
            <w:tcW w:w="1537" w:type="pct"/>
            <w:noWrap/>
            <w:hideMark/>
          </w:tcPr>
          <w:p w:rsidR="003218B2" w:rsidRPr="003D4784" w:rsidRDefault="003218B2" w:rsidP="003218B2">
            <w:pPr>
              <w:pStyle w:val="a4"/>
            </w:pPr>
            <w:r w:rsidRPr="003D4784">
              <w:t>Общий итог</w:t>
            </w:r>
          </w:p>
        </w:tc>
        <w:tc>
          <w:tcPr>
            <w:tcW w:w="1778" w:type="pct"/>
            <w:noWrap/>
            <w:hideMark/>
          </w:tcPr>
          <w:p w:rsidR="003218B2" w:rsidRPr="003D4784" w:rsidRDefault="003218B2" w:rsidP="003218B2">
            <w:pPr>
              <w:pStyle w:val="a4"/>
            </w:pPr>
          </w:p>
        </w:tc>
        <w:tc>
          <w:tcPr>
            <w:tcW w:w="842" w:type="pct"/>
            <w:vAlign w:val="center"/>
          </w:tcPr>
          <w:p w:rsidR="003218B2" w:rsidRPr="003D4784" w:rsidRDefault="003218B2" w:rsidP="004931D6">
            <w:pPr>
              <w:pStyle w:val="-"/>
            </w:pPr>
            <w:r>
              <w:t>78</w:t>
            </w:r>
          </w:p>
        </w:tc>
        <w:tc>
          <w:tcPr>
            <w:tcW w:w="843" w:type="pct"/>
            <w:noWrap/>
            <w:vAlign w:val="center"/>
          </w:tcPr>
          <w:p w:rsidR="003218B2" w:rsidRPr="003D4784" w:rsidRDefault="004931D6" w:rsidP="004931D6">
            <w:pPr>
              <w:pStyle w:val="-"/>
            </w:pPr>
            <w:r>
              <w:t>122</w:t>
            </w:r>
          </w:p>
        </w:tc>
      </w:tr>
    </w:tbl>
    <w:p w:rsidR="00B57BDB" w:rsidRPr="003D4784" w:rsidRDefault="00B57BDB" w:rsidP="00B57BDB">
      <w:pPr>
        <w:pStyle w:val="a3"/>
      </w:pPr>
    </w:p>
    <w:p w:rsidR="00B57BDB" w:rsidRPr="003D4784" w:rsidRDefault="00B57BDB" w:rsidP="00B57BDB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B57BDB" w:rsidRPr="003D4784" w:rsidTr="00AE14CE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57BDB" w:rsidRPr="003D4784" w:rsidRDefault="00B57BDB" w:rsidP="00AE14CE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9A744F" w:rsidRPr="003D4784" w:rsidTr="00AE14CE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9A744F" w:rsidRPr="003D4784" w:rsidRDefault="009A744F" w:rsidP="009A744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9A744F" w:rsidRPr="003D4784" w:rsidRDefault="009A744F" w:rsidP="009A744F">
            <w:pPr>
              <w:pStyle w:val="-"/>
            </w:pPr>
            <w:r w:rsidRPr="003D4784">
              <w:t>201</w:t>
            </w:r>
            <w:r>
              <w:t>5</w:t>
            </w:r>
            <w:r w:rsidRPr="003D4784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  <w:vAlign w:val="center"/>
          </w:tcPr>
          <w:p w:rsidR="009A744F" w:rsidRPr="003D4784" w:rsidRDefault="00075FC0" w:rsidP="009A744F">
            <w:pPr>
              <w:pStyle w:val="-"/>
            </w:pPr>
            <w:r>
              <w:t>2016 г.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36 (46,15%)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56</w:t>
            </w:r>
            <w:r w:rsidR="00853346">
              <w:t xml:space="preserve"> (45,9</w:t>
            </w:r>
            <w:r w:rsidR="00853346" w:rsidRPr="00544178">
              <w:t>%)</w:t>
            </w:r>
          </w:p>
        </w:tc>
      </w:tr>
      <w:tr w:rsidR="00D5420B" w:rsidRPr="003D4784" w:rsidTr="00D0745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D5420B" w:rsidRPr="003D4784" w:rsidRDefault="00D5420B" w:rsidP="00D07453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D5420B" w:rsidRPr="00544178" w:rsidRDefault="00D5420B" w:rsidP="00D07453">
            <w:pPr>
              <w:pStyle w:val="-"/>
            </w:pPr>
            <w:r w:rsidRPr="00544178">
              <w:t>9 (11,54%)</w:t>
            </w:r>
          </w:p>
        </w:tc>
        <w:tc>
          <w:tcPr>
            <w:tcW w:w="870" w:type="pct"/>
            <w:vAlign w:val="center"/>
          </w:tcPr>
          <w:p w:rsidR="00D5420B" w:rsidRDefault="00D5420B" w:rsidP="00D07453">
            <w:pPr>
              <w:pStyle w:val="-"/>
            </w:pPr>
            <w:r>
              <w:t>19 (15,6</w:t>
            </w:r>
            <w:r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7 (8,97%)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16</w:t>
            </w:r>
            <w:r w:rsidR="00853346">
              <w:t xml:space="preserve"> (13,1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11 (14,1%)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16</w:t>
            </w:r>
            <w:r w:rsidR="00853346">
              <w:t xml:space="preserve"> (13,1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lastRenderedPageBreak/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5 (6,41%)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4</w:t>
            </w:r>
            <w:r w:rsidR="00853346">
              <w:t xml:space="preserve"> (3,3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t>Оказание фиксированной телефонной связи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2 (2,56%)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1</w:t>
            </w:r>
            <w:r w:rsidR="00853346">
              <w:t xml:space="preserve"> (0,8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2961A0" w:rsidRPr="003D4784" w:rsidRDefault="002961A0" w:rsidP="002961A0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2961A0" w:rsidRPr="00544178" w:rsidRDefault="002961A0" w:rsidP="002961A0">
            <w:pPr>
              <w:pStyle w:val="-"/>
            </w:pPr>
            <w:r w:rsidRPr="00544178">
              <w:t>2 (2,56%)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5</w:t>
            </w:r>
            <w:r w:rsidR="00853346">
              <w:t xml:space="preserve"> (4,1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</w:tcPr>
          <w:p w:rsidR="002961A0" w:rsidRPr="003D4784" w:rsidRDefault="002961A0" w:rsidP="002961A0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2961A0" w:rsidRPr="00544178" w:rsidRDefault="002961A0" w:rsidP="002961A0">
            <w:pPr>
              <w:pStyle w:val="-"/>
            </w:pPr>
            <w:r w:rsidRPr="00544178">
              <w:t>6 (7,69%)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3</w:t>
            </w:r>
            <w:r w:rsidR="00853346">
              <w:t xml:space="preserve"> (2,5</w:t>
            </w:r>
            <w:r w:rsidR="00853346" w:rsidRPr="00544178">
              <w:t>%)</w:t>
            </w:r>
          </w:p>
        </w:tc>
      </w:tr>
      <w:tr w:rsidR="002961A0" w:rsidRPr="003D4784" w:rsidTr="002961A0">
        <w:trPr>
          <w:trHeight w:val="300"/>
        </w:trPr>
        <w:tc>
          <w:tcPr>
            <w:tcW w:w="3315" w:type="pct"/>
            <w:noWrap/>
            <w:vAlign w:val="center"/>
          </w:tcPr>
          <w:p w:rsidR="002961A0" w:rsidRDefault="002961A0" w:rsidP="002961A0">
            <w:pPr>
              <w:pStyle w:val="a4"/>
            </w:pPr>
            <w:r w:rsidRPr="003E2193">
              <w:t>Иные вопросы, относящиеся к области оказания услуг связи</w:t>
            </w:r>
          </w:p>
        </w:tc>
        <w:tc>
          <w:tcPr>
            <w:tcW w:w="815" w:type="pct"/>
            <w:noWrap/>
            <w:vAlign w:val="center"/>
          </w:tcPr>
          <w:p w:rsidR="002961A0" w:rsidRPr="00544178" w:rsidRDefault="002961A0" w:rsidP="002961A0">
            <w:pPr>
              <w:pStyle w:val="-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2961A0" w:rsidRDefault="002961A0" w:rsidP="002961A0">
            <w:pPr>
              <w:pStyle w:val="-"/>
            </w:pPr>
            <w:r>
              <w:t>2</w:t>
            </w:r>
            <w:r w:rsidR="00853346">
              <w:t xml:space="preserve"> (1,6</w:t>
            </w:r>
            <w:r w:rsidR="00853346" w:rsidRPr="00544178">
              <w:t>%)</w:t>
            </w:r>
          </w:p>
        </w:tc>
      </w:tr>
    </w:tbl>
    <w:p w:rsidR="00B57BDB" w:rsidRPr="003D4784" w:rsidRDefault="00B57BDB" w:rsidP="00B57BDB">
      <w:pPr>
        <w:pStyle w:val="a3"/>
      </w:pPr>
    </w:p>
    <w:p w:rsidR="00580571" w:rsidRPr="007F434B" w:rsidRDefault="00B57BDB" w:rsidP="00D5420B">
      <w:pPr>
        <w:pStyle w:val="a3"/>
        <w:rPr>
          <w:szCs w:val="28"/>
        </w:rPr>
      </w:pPr>
      <w:r w:rsidRPr="003D4784">
        <w:t>Как видно из представленной информации в 201</w:t>
      </w:r>
      <w:r w:rsidR="00BA4863">
        <w:t>6</w:t>
      </w:r>
      <w:r w:rsidRPr="003D4784">
        <w:t xml:space="preserve"> году количество обращений </w:t>
      </w:r>
      <w:r>
        <w:t>увеличилось</w:t>
      </w:r>
      <w:r w:rsidRPr="003D4784">
        <w:t xml:space="preserve"> на </w:t>
      </w:r>
      <w:r w:rsidR="005F23BE" w:rsidRPr="005F23BE">
        <w:t>56,4 %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>
        <w:t xml:space="preserve">увеличением </w:t>
      </w:r>
      <w:r w:rsidRPr="003D4784">
        <w:t xml:space="preserve">числа обращений по вопросам оказания услуг почтовой связи. </w:t>
      </w:r>
      <w:r w:rsidR="00D5420B">
        <w:t>Кроме того, в отчетном периоде, возросло количество обращений, связанных с качеством оказания телематических услуг связи (услуг доступа к сети Интернет). Последнее можно связать с вводом в эксплуатацию подводной волоконно-оптической линией связи Камчатка – Сахалин. При переводе магистральных каналов связи на оптический кабель стали обнаруживаться проблемы с абонентскими линиями связи, которые ранее были незаметны при узком спутниковом канале связи.</w:t>
      </w:r>
    </w:p>
    <w:p w:rsidR="00580571" w:rsidRDefault="00580571" w:rsidP="00580571">
      <w:pPr>
        <w:pStyle w:val="4"/>
        <w:rPr>
          <w:b/>
        </w:rPr>
      </w:pPr>
      <w:r w:rsidRPr="00544178">
        <w:rPr>
          <w:b/>
        </w:rPr>
        <w:t>Работа с обращениями в области персональных данных</w:t>
      </w:r>
      <w:r w:rsidR="00230AD4" w:rsidRPr="00544178">
        <w:rPr>
          <w:b/>
        </w:rPr>
        <w:t>.</w:t>
      </w:r>
    </w:p>
    <w:p w:rsidR="00580571" w:rsidRDefault="00580571" w:rsidP="00B818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0571">
        <w:rPr>
          <w:rFonts w:ascii="Times New Roman" w:hAnsi="Times New Roman" w:cs="Times New Roman"/>
          <w:sz w:val="28"/>
          <w:szCs w:val="28"/>
          <w:lang w:eastAsia="ar-SA"/>
        </w:rPr>
        <w:t>За 201</w:t>
      </w:r>
      <w:r w:rsidR="00BA486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BA4863">
        <w:rPr>
          <w:rFonts w:ascii="Times New Roman" w:hAnsi="Times New Roman" w:cs="Times New Roman"/>
          <w:sz w:val="28"/>
          <w:szCs w:val="28"/>
          <w:lang w:eastAsia="ar-SA"/>
        </w:rPr>
        <w:t>67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BA4863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F116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0571">
        <w:rPr>
          <w:rFonts w:ascii="Times New Roman" w:hAnsi="Times New Roman" w:cs="Times New Roman"/>
          <w:sz w:val="28"/>
          <w:szCs w:val="28"/>
        </w:rPr>
        <w:t>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в области персональных данных, из них </w:t>
      </w:r>
      <w:r w:rsidR="00BA4863">
        <w:rPr>
          <w:rFonts w:ascii="Times New Roman" w:hAnsi="Times New Roman" w:cs="Times New Roman"/>
          <w:sz w:val="28"/>
          <w:szCs w:val="28"/>
          <w:lang w:eastAsia="ar-SA"/>
        </w:rPr>
        <w:t>64</w:t>
      </w:r>
      <w:r w:rsidR="00B818C0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Pr="00580571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обращения граждан. </w:t>
      </w:r>
    </w:p>
    <w:p w:rsidR="00BC61F0" w:rsidRDefault="00BC61F0" w:rsidP="00BC6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E9266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D7533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E9266C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 xml:space="preserve"> касал</w:t>
      </w:r>
      <w:r w:rsidR="00E9266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6D7533" w:rsidRPr="006D7533">
        <w:rPr>
          <w:rFonts w:ascii="Times New Roman" w:hAnsi="Times New Roman" w:cs="Times New Roman"/>
          <w:sz w:val="28"/>
          <w:szCs w:val="28"/>
          <w:lang w:eastAsia="ar-SA"/>
        </w:rPr>
        <w:t>сь разъяснения законодательства о персональных данных,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BC61F0" w:rsidRPr="00B20B76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агентств – 1;</w:t>
      </w:r>
    </w:p>
    <w:p w:rsidR="00FC3614" w:rsidRDefault="00FC3614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 – 1;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C3614" w:rsidRPr="00DF431B" w:rsidRDefault="00FC3614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1;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C3614" w:rsidRPr="00DF431B" w:rsidRDefault="00FC3614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 массовой информации – 1;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C61F0" w:rsidRDefault="00BC61F0" w:rsidP="00BC61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B25887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обращений.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обращение направлено для рассмотрения по подведомственности.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результатам рассмотрения </w:t>
      </w:r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>материалы</w:t>
      </w:r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направлены в органы прокуратуры. </w:t>
      </w:r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Три обращения содержали жалобы на сайты, распространяющие персональные данные заявителей, вместе с тем, </w:t>
      </w:r>
      <w:proofErr w:type="spellStart"/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Роскомнадзором</w:t>
      </w:r>
      <w:proofErr w:type="spellEnd"/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отношении данных сайтов ранее уже были направлены в суд исковые заявления, о чем заявителям сообщено.</w:t>
      </w:r>
      <w:r w:rsidR="002679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="00FC3614">
        <w:rPr>
          <w:rFonts w:ascii="Times New Roman" w:eastAsia="Times New Roman" w:hAnsi="Times New Roman" w:cs="Times New Roman"/>
          <w:sz w:val="28"/>
          <w:szCs w:val="20"/>
          <w:lang w:eastAsia="ar-SA"/>
        </w:rPr>
        <w:t>32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персональных данных не подтвердилась. </w:t>
      </w:r>
    </w:p>
    <w:p w:rsidR="00E120EE" w:rsidRPr="00267931" w:rsidRDefault="00BC61F0" w:rsidP="002679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GoBack"/>
      <w:bookmarkEnd w:id="1"/>
    </w:p>
    <w:sectPr w:rsidR="00E120EE" w:rsidRPr="00267931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627FD"/>
    <w:rsid w:val="00075FC0"/>
    <w:rsid w:val="000964EF"/>
    <w:rsid w:val="000A39C1"/>
    <w:rsid w:val="000B4193"/>
    <w:rsid w:val="0010244A"/>
    <w:rsid w:val="0012052D"/>
    <w:rsid w:val="0013132E"/>
    <w:rsid w:val="00134F7B"/>
    <w:rsid w:val="00145FFC"/>
    <w:rsid w:val="001462EA"/>
    <w:rsid w:val="001D1FC3"/>
    <w:rsid w:val="001D6042"/>
    <w:rsid w:val="001D62EE"/>
    <w:rsid w:val="001E7745"/>
    <w:rsid w:val="001F0B77"/>
    <w:rsid w:val="001F24D7"/>
    <w:rsid w:val="002069FE"/>
    <w:rsid w:val="00230AD4"/>
    <w:rsid w:val="00231CA7"/>
    <w:rsid w:val="00235170"/>
    <w:rsid w:val="0024765E"/>
    <w:rsid w:val="00262C89"/>
    <w:rsid w:val="00263D0D"/>
    <w:rsid w:val="002669DB"/>
    <w:rsid w:val="00267931"/>
    <w:rsid w:val="002961A0"/>
    <w:rsid w:val="002E45AE"/>
    <w:rsid w:val="003029D6"/>
    <w:rsid w:val="0031615A"/>
    <w:rsid w:val="003218B2"/>
    <w:rsid w:val="00347B44"/>
    <w:rsid w:val="0037612F"/>
    <w:rsid w:val="00396377"/>
    <w:rsid w:val="003970B9"/>
    <w:rsid w:val="003C3BDD"/>
    <w:rsid w:val="003C4928"/>
    <w:rsid w:val="003E2193"/>
    <w:rsid w:val="003F092C"/>
    <w:rsid w:val="004172E9"/>
    <w:rsid w:val="00424A5C"/>
    <w:rsid w:val="004757F4"/>
    <w:rsid w:val="004931D6"/>
    <w:rsid w:val="004D646C"/>
    <w:rsid w:val="004E14FF"/>
    <w:rsid w:val="004F1B64"/>
    <w:rsid w:val="004F4C88"/>
    <w:rsid w:val="00522D7B"/>
    <w:rsid w:val="00544178"/>
    <w:rsid w:val="005802D2"/>
    <w:rsid w:val="00580571"/>
    <w:rsid w:val="005F23BE"/>
    <w:rsid w:val="00661829"/>
    <w:rsid w:val="00662654"/>
    <w:rsid w:val="006D7533"/>
    <w:rsid w:val="006E7304"/>
    <w:rsid w:val="007337A1"/>
    <w:rsid w:val="00761566"/>
    <w:rsid w:val="00765418"/>
    <w:rsid w:val="0079012B"/>
    <w:rsid w:val="00794B7C"/>
    <w:rsid w:val="007A7B92"/>
    <w:rsid w:val="007D16A5"/>
    <w:rsid w:val="007E3B34"/>
    <w:rsid w:val="007F038D"/>
    <w:rsid w:val="007F434B"/>
    <w:rsid w:val="00853346"/>
    <w:rsid w:val="008624BE"/>
    <w:rsid w:val="00865488"/>
    <w:rsid w:val="00887C7F"/>
    <w:rsid w:val="008C79F6"/>
    <w:rsid w:val="008D7772"/>
    <w:rsid w:val="008F7DD2"/>
    <w:rsid w:val="009262BB"/>
    <w:rsid w:val="009278B6"/>
    <w:rsid w:val="009805DE"/>
    <w:rsid w:val="00992ED4"/>
    <w:rsid w:val="009A744F"/>
    <w:rsid w:val="009D3503"/>
    <w:rsid w:val="00A003EF"/>
    <w:rsid w:val="00A13483"/>
    <w:rsid w:val="00A567D9"/>
    <w:rsid w:val="00AD55C7"/>
    <w:rsid w:val="00AE1E4D"/>
    <w:rsid w:val="00AF0007"/>
    <w:rsid w:val="00B25887"/>
    <w:rsid w:val="00B31338"/>
    <w:rsid w:val="00B57BDB"/>
    <w:rsid w:val="00B818C0"/>
    <w:rsid w:val="00BA4863"/>
    <w:rsid w:val="00BA49B1"/>
    <w:rsid w:val="00BC61F0"/>
    <w:rsid w:val="00BD220C"/>
    <w:rsid w:val="00C46E0B"/>
    <w:rsid w:val="00C6485F"/>
    <w:rsid w:val="00C64EA4"/>
    <w:rsid w:val="00C97FF8"/>
    <w:rsid w:val="00CA5FA2"/>
    <w:rsid w:val="00CC1D2E"/>
    <w:rsid w:val="00CD6728"/>
    <w:rsid w:val="00D0384F"/>
    <w:rsid w:val="00D43F5B"/>
    <w:rsid w:val="00D5420B"/>
    <w:rsid w:val="00D92421"/>
    <w:rsid w:val="00E120EE"/>
    <w:rsid w:val="00E41B9C"/>
    <w:rsid w:val="00E610CD"/>
    <w:rsid w:val="00E9266C"/>
    <w:rsid w:val="00EC7365"/>
    <w:rsid w:val="00ED3B73"/>
    <w:rsid w:val="00EE11AF"/>
    <w:rsid w:val="00F112D2"/>
    <w:rsid w:val="00F1163D"/>
    <w:rsid w:val="00F408FB"/>
    <w:rsid w:val="00F4742D"/>
    <w:rsid w:val="00F6558B"/>
    <w:rsid w:val="00F76D55"/>
    <w:rsid w:val="00F81A19"/>
    <w:rsid w:val="00FA389E"/>
    <w:rsid w:val="00FC12AD"/>
    <w:rsid w:val="00FC3614"/>
    <w:rsid w:val="00FE361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Slaventii</cp:lastModifiedBy>
  <cp:revision>91</cp:revision>
  <cp:lastPrinted>2014-11-10T04:33:00Z</cp:lastPrinted>
  <dcterms:created xsi:type="dcterms:W3CDTF">2015-01-21T22:46:00Z</dcterms:created>
  <dcterms:modified xsi:type="dcterms:W3CDTF">2017-01-15T11:39:00Z</dcterms:modified>
</cp:coreProperties>
</file>