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 xml:space="preserve">4 КВАРТАЛЕ </w:t>
      </w:r>
      <w:r w:rsidRPr="006E7304">
        <w:rPr>
          <w:color w:val="auto"/>
        </w:rPr>
        <w:t xml:space="preserve">2013 </w:t>
      </w:r>
      <w:r w:rsidR="003029D6">
        <w:rPr>
          <w:color w:val="auto"/>
        </w:rPr>
        <w:t>ГОДА</w:t>
      </w:r>
    </w:p>
    <w:p w:rsidR="007E3B34" w:rsidRDefault="007E3B34" w:rsidP="007E3B34">
      <w:pPr>
        <w:pStyle w:val="a3"/>
      </w:pPr>
      <w:r>
        <w:t>Всего в 1 квартале 2014 года в адрес Управления поступило 34 письменных обращени</w:t>
      </w:r>
      <w:r w:rsidR="00C6485F">
        <w:t>я</w:t>
      </w:r>
      <w:r>
        <w:t xml:space="preserve"> с жалобами граждан Российской Федерации. Из них ра</w:t>
      </w:r>
      <w:r>
        <w:t>с</w:t>
      </w:r>
      <w:r>
        <w:t>смотрено 28 обращени</w:t>
      </w:r>
      <w:r w:rsidR="00C6485F">
        <w:t>й</w:t>
      </w:r>
      <w:r>
        <w:t xml:space="preserve">, 6 находятся на рассмотрении. Кроме того даны разъяснения на 14 устных обращений, поступивших как от граждан, так и от представителей операторов связи и других юридических лиц. </w:t>
      </w:r>
    </w:p>
    <w:p w:rsidR="007E3B34" w:rsidRDefault="007E3B34" w:rsidP="007E3B34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7E3B34" w:rsidRPr="00364A3F" w:rsidTr="007E3B34">
        <w:tc>
          <w:tcPr>
            <w:tcW w:w="4361" w:type="dxa"/>
          </w:tcPr>
          <w:p w:rsidR="007E3B34" w:rsidRPr="00364A3F" w:rsidRDefault="007E3B34" w:rsidP="007E3B34">
            <w:pPr>
              <w:pStyle w:val="a4"/>
            </w:pPr>
          </w:p>
        </w:tc>
        <w:tc>
          <w:tcPr>
            <w:tcW w:w="5210" w:type="dxa"/>
            <w:gridSpan w:val="2"/>
          </w:tcPr>
          <w:p w:rsidR="007E3B34" w:rsidRPr="00364A3F" w:rsidRDefault="007E3B34" w:rsidP="007E3B34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7E3B34" w:rsidRPr="00364A3F" w:rsidTr="007E3B34">
        <w:tc>
          <w:tcPr>
            <w:tcW w:w="4361" w:type="dxa"/>
          </w:tcPr>
          <w:p w:rsidR="007E3B34" w:rsidRPr="00364A3F" w:rsidRDefault="007E3B34" w:rsidP="007E3B34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7E3B34" w:rsidRPr="00364A3F" w:rsidRDefault="007E3B34" w:rsidP="007E3B34">
            <w:pPr>
              <w:pStyle w:val="a4"/>
            </w:pPr>
            <w:r w:rsidRPr="00364A3F">
              <w:t>1 кв. 2013</w:t>
            </w:r>
          </w:p>
        </w:tc>
        <w:tc>
          <w:tcPr>
            <w:tcW w:w="2605" w:type="dxa"/>
          </w:tcPr>
          <w:p w:rsidR="007E3B34" w:rsidRPr="00364A3F" w:rsidRDefault="007E3B34" w:rsidP="007E3B34">
            <w:pPr>
              <w:pStyle w:val="a4"/>
            </w:pPr>
            <w:r w:rsidRPr="00364A3F">
              <w:t>1 кв. 2014</w:t>
            </w:r>
          </w:p>
        </w:tc>
      </w:tr>
      <w:tr w:rsidR="007E3B34" w:rsidRPr="00364A3F" w:rsidTr="007E3B34">
        <w:tc>
          <w:tcPr>
            <w:tcW w:w="4361" w:type="dxa"/>
          </w:tcPr>
          <w:p w:rsidR="007E3B34" w:rsidRPr="00364A3F" w:rsidRDefault="007E3B34" w:rsidP="007E3B34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7E3B34" w:rsidRPr="00364A3F" w:rsidRDefault="007E3B34" w:rsidP="007E3B34">
            <w:pPr>
              <w:pStyle w:val="a4"/>
            </w:pPr>
            <w:r w:rsidRPr="00364A3F">
              <w:t>2</w:t>
            </w:r>
          </w:p>
        </w:tc>
        <w:tc>
          <w:tcPr>
            <w:tcW w:w="2605" w:type="dxa"/>
          </w:tcPr>
          <w:p w:rsidR="007E3B34" w:rsidRPr="00364A3F" w:rsidRDefault="007E3B34" w:rsidP="007E3B34">
            <w:pPr>
              <w:pStyle w:val="a4"/>
            </w:pPr>
            <w:r>
              <w:t>6</w:t>
            </w:r>
          </w:p>
        </w:tc>
      </w:tr>
      <w:tr w:rsidR="007E3B34" w:rsidRPr="00364A3F" w:rsidTr="007E3B34">
        <w:tc>
          <w:tcPr>
            <w:tcW w:w="4361" w:type="dxa"/>
          </w:tcPr>
          <w:p w:rsidR="007E3B34" w:rsidRPr="00364A3F" w:rsidRDefault="007E3B34" w:rsidP="007E3B34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7E3B34" w:rsidRPr="00364A3F" w:rsidRDefault="007E3B34" w:rsidP="007E3B34">
            <w:pPr>
              <w:pStyle w:val="a4"/>
            </w:pPr>
            <w:r w:rsidRPr="00364A3F">
              <w:t>24</w:t>
            </w:r>
          </w:p>
        </w:tc>
        <w:tc>
          <w:tcPr>
            <w:tcW w:w="2605" w:type="dxa"/>
          </w:tcPr>
          <w:p w:rsidR="007E3B34" w:rsidRPr="00364A3F" w:rsidRDefault="007E3B34" w:rsidP="007E3B34">
            <w:pPr>
              <w:pStyle w:val="a4"/>
            </w:pPr>
            <w:r w:rsidRPr="00364A3F">
              <w:t>2</w:t>
            </w:r>
            <w:r>
              <w:t>2</w:t>
            </w:r>
          </w:p>
        </w:tc>
      </w:tr>
      <w:tr w:rsidR="007E3B34" w:rsidRPr="00364A3F" w:rsidTr="007E3B34">
        <w:tc>
          <w:tcPr>
            <w:tcW w:w="4361" w:type="dxa"/>
          </w:tcPr>
          <w:p w:rsidR="007E3B34" w:rsidRPr="00364A3F" w:rsidRDefault="007E3B34" w:rsidP="007E3B34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7E3B34" w:rsidRPr="00364A3F" w:rsidRDefault="007E3B34" w:rsidP="007E3B34">
            <w:pPr>
              <w:pStyle w:val="a4"/>
            </w:pPr>
            <w:r w:rsidRPr="00364A3F">
              <w:t>0</w:t>
            </w:r>
          </w:p>
        </w:tc>
        <w:tc>
          <w:tcPr>
            <w:tcW w:w="2605" w:type="dxa"/>
          </w:tcPr>
          <w:p w:rsidR="007E3B34" w:rsidRPr="00364A3F" w:rsidRDefault="007E3B34" w:rsidP="007E3B34">
            <w:pPr>
              <w:pStyle w:val="a4"/>
            </w:pPr>
            <w:r>
              <w:t>6</w:t>
            </w:r>
          </w:p>
        </w:tc>
      </w:tr>
    </w:tbl>
    <w:p w:rsidR="007E3B34" w:rsidRDefault="007E3B34" w:rsidP="007E3B34">
      <w:pPr>
        <w:pStyle w:val="4"/>
        <w:rPr>
          <w:b/>
        </w:rPr>
      </w:pPr>
      <w:r>
        <w:t>Работа с обращениями в сфере СМИ</w:t>
      </w:r>
    </w:p>
    <w:p w:rsidR="007E3B34" w:rsidRDefault="007E3B34" w:rsidP="007E3B34">
      <w:pPr>
        <w:pStyle w:val="a3"/>
      </w:pPr>
      <w:r>
        <w:t>В отчетном периоде было рассмотрено 6 обращений гражданин, отн</w:t>
      </w:r>
      <w:r>
        <w:t>о</w:t>
      </w:r>
      <w:r>
        <w:t xml:space="preserve">сящихся к сфере массовых коммуникаций.  </w:t>
      </w:r>
    </w:p>
    <w:p w:rsidR="007E3B34" w:rsidRDefault="007E3B34" w:rsidP="007E3B34">
      <w:pPr>
        <w:pStyle w:val="a3"/>
      </w:pPr>
      <w:r>
        <w:t>3 обращения посвящены прекращению вещания телеканалов «Улыбка ребенка» и «ТБН» на территории Российской Федерации.</w:t>
      </w:r>
    </w:p>
    <w:p w:rsidR="007E3B34" w:rsidRDefault="007E3B34" w:rsidP="007E3B34">
      <w:pPr>
        <w:pStyle w:val="a3"/>
      </w:pPr>
      <w:r>
        <w:t>Одно обращение касалось публикаций в газете «Зеркало времени», еще одно прекращению вещания «Радио России» на длинных волнах. Тематика одного обращений не относится к компетенции Роскомнадзора.</w:t>
      </w:r>
    </w:p>
    <w:p w:rsidR="007E3B34" w:rsidRDefault="007E3B34" w:rsidP="007E3B34">
      <w:pPr>
        <w:pStyle w:val="a3"/>
      </w:pPr>
      <w:r>
        <w:t>Ни в одном случае нарушения законодательства установлены не были, заявителям направлены соответствующие разъяснения.</w:t>
      </w:r>
    </w:p>
    <w:p w:rsidR="007E3B34" w:rsidRDefault="007E3B34" w:rsidP="007E3B34">
      <w:pPr>
        <w:pStyle w:val="4"/>
      </w:pPr>
      <w:r w:rsidRPr="00561330">
        <w:t>Работа с обращениями граждан в сфере связи</w:t>
      </w:r>
    </w:p>
    <w:p w:rsidR="007E3B34" w:rsidRPr="00667209" w:rsidRDefault="007E3B34" w:rsidP="007E3B34"/>
    <w:p w:rsidR="007E3B34" w:rsidRDefault="007E3B34" w:rsidP="007E3B34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5000" w:type="pct"/>
        <w:tblLook w:val="04A0"/>
      </w:tblPr>
      <w:tblGrid>
        <w:gridCol w:w="7633"/>
        <w:gridCol w:w="969"/>
        <w:gridCol w:w="969"/>
      </w:tblGrid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DF0494" w:rsidRDefault="007E3B34" w:rsidP="007E3B34">
            <w:pPr>
              <w:pStyle w:val="-"/>
            </w:pPr>
            <w:r w:rsidRPr="004B2A80">
              <w:t xml:space="preserve">Наименование лица, </w:t>
            </w:r>
            <w:proofErr w:type="gramStart"/>
            <w:r w:rsidRPr="004B2A80">
              <w:t>действия</w:t>
            </w:r>
            <w:proofErr w:type="gramEnd"/>
            <w:r w:rsidRPr="004B2A80">
              <w:t xml:space="preserve"> которого обжал</w:t>
            </w:r>
            <w:r>
              <w:t>овались</w:t>
            </w:r>
          </w:p>
        </w:tc>
        <w:tc>
          <w:tcPr>
            <w:tcW w:w="506" w:type="pct"/>
            <w:noWrap/>
            <w:hideMark/>
          </w:tcPr>
          <w:p w:rsidR="007E3B34" w:rsidRDefault="007E3B34" w:rsidP="007E3B34">
            <w:pPr>
              <w:pStyle w:val="-"/>
            </w:pPr>
            <w:r>
              <w:t xml:space="preserve">1 кв. </w:t>
            </w:r>
          </w:p>
          <w:p w:rsidR="007E3B34" w:rsidRPr="00DF0494" w:rsidRDefault="007E3B34" w:rsidP="007E3B34">
            <w:pPr>
              <w:pStyle w:val="-"/>
            </w:pPr>
            <w:r w:rsidRPr="00DF0494">
              <w:t>2013</w:t>
            </w:r>
            <w:r>
              <w:t xml:space="preserve"> г.</w:t>
            </w:r>
          </w:p>
        </w:tc>
        <w:tc>
          <w:tcPr>
            <w:tcW w:w="506" w:type="pct"/>
            <w:noWrap/>
            <w:hideMark/>
          </w:tcPr>
          <w:p w:rsidR="007E3B34" w:rsidRDefault="007E3B34" w:rsidP="007E3B34">
            <w:pPr>
              <w:pStyle w:val="-"/>
            </w:pPr>
            <w:r>
              <w:t xml:space="preserve">1 кв. </w:t>
            </w:r>
          </w:p>
          <w:p w:rsidR="007E3B34" w:rsidRPr="00DF0494" w:rsidRDefault="007E3B34" w:rsidP="007E3B34">
            <w:pPr>
              <w:pStyle w:val="-"/>
            </w:pPr>
            <w:r w:rsidRPr="00DF0494">
              <w:t>2014</w:t>
            </w:r>
            <w:r>
              <w:t xml:space="preserve"> г.</w:t>
            </w:r>
          </w:p>
        </w:tc>
      </w:tr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И</w:t>
            </w:r>
            <w:r>
              <w:t>П</w:t>
            </w:r>
            <w:r w:rsidRPr="006C5B87">
              <w:t xml:space="preserve"> Кузнецов Дмитрий Даниилович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>
              <w:t>0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1</w:t>
            </w:r>
          </w:p>
        </w:tc>
      </w:tr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 xml:space="preserve">ОАО </w:t>
            </w:r>
            <w:r>
              <w:t>«</w:t>
            </w:r>
            <w:r w:rsidRPr="006C5B87">
              <w:t>МегаФон</w:t>
            </w:r>
            <w:r>
              <w:t>»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1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4</w:t>
            </w:r>
          </w:p>
        </w:tc>
      </w:tr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 xml:space="preserve">ОАО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3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5</w:t>
            </w:r>
          </w:p>
        </w:tc>
      </w:tr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 xml:space="preserve">ОАО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1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1</w:t>
            </w:r>
          </w:p>
        </w:tc>
      </w:tr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 xml:space="preserve">ООО </w:t>
            </w:r>
            <w:r>
              <w:t>«</w:t>
            </w:r>
            <w:r w:rsidRPr="006C5B87">
              <w:t>Радиус</w:t>
            </w:r>
            <w:r>
              <w:t>»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>
              <w:t>0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1</w:t>
            </w:r>
          </w:p>
        </w:tc>
      </w:tr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 xml:space="preserve">ООО </w:t>
            </w:r>
            <w:r>
              <w:t>«</w:t>
            </w:r>
            <w:r w:rsidRPr="006C5B87">
              <w:t>Системы и технологии электронных коммуникаций</w:t>
            </w:r>
            <w:r>
              <w:t>»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1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>
              <w:t>0</w:t>
            </w:r>
          </w:p>
        </w:tc>
      </w:tr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17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10</w:t>
            </w:r>
          </w:p>
        </w:tc>
      </w:tr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DB12D1" w:rsidRDefault="007E3B34" w:rsidP="007E3B34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1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>
              <w:t>0</w:t>
            </w:r>
          </w:p>
        </w:tc>
      </w:tr>
      <w:tr w:rsidR="007E3B34" w:rsidRPr="006C5B87" w:rsidTr="007E3B34">
        <w:trPr>
          <w:cantSplit/>
          <w:trHeight w:val="300"/>
        </w:trPr>
        <w:tc>
          <w:tcPr>
            <w:tcW w:w="3988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Общий итог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24</w:t>
            </w:r>
          </w:p>
        </w:tc>
        <w:tc>
          <w:tcPr>
            <w:tcW w:w="506" w:type="pct"/>
            <w:noWrap/>
            <w:hideMark/>
          </w:tcPr>
          <w:p w:rsidR="007E3B34" w:rsidRPr="006C5B87" w:rsidRDefault="007E3B34" w:rsidP="007E3B34">
            <w:pPr>
              <w:pStyle w:val="a4"/>
            </w:pPr>
            <w:r w:rsidRPr="006C5B87">
              <w:t>22</w:t>
            </w:r>
          </w:p>
        </w:tc>
      </w:tr>
    </w:tbl>
    <w:p w:rsidR="007E3B34" w:rsidRDefault="007E3B34" w:rsidP="007E3B34">
      <w:pPr>
        <w:pStyle w:val="a3"/>
        <w:jc w:val="left"/>
      </w:pPr>
    </w:p>
    <w:p w:rsidR="007E3B34" w:rsidRDefault="007E3B34" w:rsidP="007E3B34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/>
      </w:tblPr>
      <w:tblGrid>
        <w:gridCol w:w="4059"/>
        <w:gridCol w:w="3572"/>
        <w:gridCol w:w="970"/>
        <w:gridCol w:w="970"/>
      </w:tblGrid>
      <w:tr w:rsidR="007E3B34" w:rsidRPr="00A262EE" w:rsidTr="007E3B34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7E3B34" w:rsidRDefault="007E3B34" w:rsidP="007E3B34">
            <w:pPr>
              <w:pStyle w:val="-"/>
            </w:pPr>
            <w:r>
              <w:t xml:space="preserve">Проведение </w:t>
            </w:r>
            <w:proofErr w:type="gramStart"/>
            <w:r>
              <w:t>внеплановой</w:t>
            </w:r>
            <w:proofErr w:type="gramEnd"/>
            <w:r>
              <w:t xml:space="preserve">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7E3B34" w:rsidRDefault="007E3B34" w:rsidP="007E3B34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  <w:noWrap/>
            <w:hideMark/>
          </w:tcPr>
          <w:p w:rsidR="007E3B34" w:rsidRDefault="007E3B34" w:rsidP="007E3B34">
            <w:pPr>
              <w:pStyle w:val="-"/>
            </w:pPr>
            <w:r>
              <w:t xml:space="preserve">1 кв. </w:t>
            </w:r>
          </w:p>
          <w:p w:rsidR="007E3B34" w:rsidRPr="00DF0494" w:rsidRDefault="007E3B34" w:rsidP="007E3B34">
            <w:pPr>
              <w:pStyle w:val="-"/>
            </w:pPr>
            <w:r w:rsidRPr="00DF0494">
              <w:t>2013</w:t>
            </w:r>
            <w:r>
              <w:t xml:space="preserve"> г.</w:t>
            </w:r>
          </w:p>
        </w:tc>
        <w:tc>
          <w:tcPr>
            <w:tcW w:w="507" w:type="pct"/>
            <w:noWrap/>
            <w:hideMark/>
          </w:tcPr>
          <w:p w:rsidR="007E3B34" w:rsidRDefault="007E3B34" w:rsidP="007E3B34">
            <w:pPr>
              <w:pStyle w:val="-"/>
            </w:pPr>
            <w:r>
              <w:t xml:space="preserve">1 кв. </w:t>
            </w:r>
          </w:p>
          <w:p w:rsidR="007E3B34" w:rsidRPr="00DF0494" w:rsidRDefault="007E3B34" w:rsidP="007E3B34">
            <w:pPr>
              <w:pStyle w:val="-"/>
            </w:pPr>
            <w:r w:rsidRPr="00DF0494">
              <w:t>2014</w:t>
            </w:r>
            <w:r>
              <w:t xml:space="preserve"> г.</w:t>
            </w:r>
          </w:p>
        </w:tc>
      </w:tr>
      <w:tr w:rsidR="007E3B34" w:rsidRPr="00A262EE" w:rsidTr="007E3B34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7E3B34" w:rsidRPr="000B1F2F" w:rsidRDefault="007E3B34" w:rsidP="007E3B34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9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2</w:t>
            </w:r>
          </w:p>
        </w:tc>
      </w:tr>
      <w:tr w:rsidR="007E3B34" w:rsidRPr="00A262EE" w:rsidTr="007E3B34">
        <w:trPr>
          <w:trHeight w:val="300"/>
        </w:trPr>
        <w:tc>
          <w:tcPr>
            <w:tcW w:w="2120" w:type="pct"/>
            <w:vMerge/>
            <w:noWrap/>
            <w:hideMark/>
          </w:tcPr>
          <w:p w:rsidR="007E3B34" w:rsidRPr="00A262EE" w:rsidRDefault="007E3B34" w:rsidP="007E3B3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1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>
              <w:t>0</w:t>
            </w:r>
          </w:p>
        </w:tc>
      </w:tr>
      <w:tr w:rsidR="007E3B34" w:rsidRPr="00A262EE" w:rsidTr="007E3B34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7E3B34" w:rsidRPr="000B1F2F" w:rsidRDefault="007E3B34" w:rsidP="007E3B34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>
              <w:t>0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2</w:t>
            </w:r>
          </w:p>
        </w:tc>
      </w:tr>
      <w:tr w:rsidR="007E3B34" w:rsidRPr="00A262EE" w:rsidTr="007E3B34">
        <w:trPr>
          <w:trHeight w:val="300"/>
        </w:trPr>
        <w:tc>
          <w:tcPr>
            <w:tcW w:w="2120" w:type="pct"/>
            <w:vMerge/>
            <w:noWrap/>
            <w:hideMark/>
          </w:tcPr>
          <w:p w:rsidR="007E3B34" w:rsidRPr="00A262EE" w:rsidRDefault="007E3B34" w:rsidP="007E3B3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1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4</w:t>
            </w:r>
          </w:p>
        </w:tc>
      </w:tr>
      <w:tr w:rsidR="007E3B34" w:rsidRPr="00A262EE" w:rsidTr="007E3B34">
        <w:trPr>
          <w:trHeight w:val="300"/>
        </w:trPr>
        <w:tc>
          <w:tcPr>
            <w:tcW w:w="2120" w:type="pct"/>
            <w:vMerge/>
            <w:noWrap/>
            <w:hideMark/>
          </w:tcPr>
          <w:p w:rsidR="007E3B34" w:rsidRPr="00A262EE" w:rsidRDefault="007E3B34" w:rsidP="007E3B34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13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14</w:t>
            </w:r>
          </w:p>
        </w:tc>
      </w:tr>
      <w:tr w:rsidR="007E3B34" w:rsidRPr="00A262EE" w:rsidTr="007E3B34">
        <w:trPr>
          <w:trHeight w:val="300"/>
        </w:trPr>
        <w:tc>
          <w:tcPr>
            <w:tcW w:w="2120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7E3B34" w:rsidRPr="00A262EE" w:rsidRDefault="007E3B34" w:rsidP="007E3B34">
            <w:pPr>
              <w:pStyle w:val="a4"/>
            </w:pP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24</w:t>
            </w:r>
          </w:p>
        </w:tc>
        <w:tc>
          <w:tcPr>
            <w:tcW w:w="507" w:type="pct"/>
            <w:noWrap/>
            <w:hideMark/>
          </w:tcPr>
          <w:p w:rsidR="007E3B34" w:rsidRPr="00A262EE" w:rsidRDefault="007E3B34" w:rsidP="007E3B34">
            <w:pPr>
              <w:pStyle w:val="a4"/>
            </w:pPr>
            <w:r w:rsidRPr="00A262EE">
              <w:t>22</w:t>
            </w:r>
          </w:p>
        </w:tc>
      </w:tr>
    </w:tbl>
    <w:p w:rsidR="007E3B34" w:rsidRDefault="007E3B34" w:rsidP="007E3B34">
      <w:pPr>
        <w:pStyle w:val="a3"/>
        <w:jc w:val="left"/>
      </w:pPr>
    </w:p>
    <w:p w:rsidR="007E3B34" w:rsidRDefault="007E3B34" w:rsidP="007E3B34">
      <w:pPr>
        <w:pStyle w:val="a3"/>
      </w:pPr>
      <w:r>
        <w:t>Из поступивших в 1 кв. 2014 году обращений:</w:t>
      </w:r>
    </w:p>
    <w:p w:rsidR="007E3B34" w:rsidRDefault="007E3B34" w:rsidP="007E3B34">
      <w:pPr>
        <w:pStyle w:val="a3"/>
      </w:pPr>
      <w:r>
        <w:t>– 10 (46%) по вопросам оказания услуг почтовой связи (нарушение контрольных сроков пересылки почтовых отправлений, розыск отправл</w:t>
      </w:r>
      <w:r>
        <w:t>е</w:t>
      </w:r>
      <w:r>
        <w:t>ний);</w:t>
      </w:r>
    </w:p>
    <w:p w:rsidR="007E3B34" w:rsidRDefault="007E3B34" w:rsidP="007E3B34">
      <w:pPr>
        <w:pStyle w:val="a3"/>
      </w:pPr>
      <w:r>
        <w:t>– 5 (22,7%) по вопросам оказания услуг подвижной радиотелефонной связи (вопросы тарификации, качество оказываемых услуг связи);</w:t>
      </w:r>
    </w:p>
    <w:p w:rsidR="007E3B34" w:rsidRDefault="007E3B34" w:rsidP="007E3B34">
      <w:pPr>
        <w:pStyle w:val="a3"/>
      </w:pPr>
      <w:r>
        <w:t>– 3 (13%) по вопросам оказания телематических услуг связи (качество оказываемых услуг связи).</w:t>
      </w:r>
    </w:p>
    <w:p w:rsidR="007E3B34" w:rsidRDefault="007E3B34" w:rsidP="007E3B34">
      <w:pPr>
        <w:pStyle w:val="a3"/>
      </w:pPr>
      <w:r>
        <w:t>– 4 (18%) иные вопросы, не относящиеся к области оказания услуг св</w:t>
      </w:r>
      <w:r>
        <w:t>я</w:t>
      </w:r>
      <w:r>
        <w:t>зи.</w:t>
      </w:r>
    </w:p>
    <w:p w:rsidR="007E3B34" w:rsidRDefault="007E3B34" w:rsidP="007E3B34">
      <w:pPr>
        <w:pStyle w:val="4"/>
        <w:spacing w:before="0"/>
      </w:pPr>
      <w:r w:rsidRPr="00C26C46">
        <w:t xml:space="preserve">Работа с обращениями в области </w:t>
      </w:r>
      <w:proofErr w:type="gramStart"/>
      <w:r w:rsidRPr="00C26C46">
        <w:t>персональных</w:t>
      </w:r>
      <w:proofErr w:type="gramEnd"/>
      <w:r w:rsidRPr="00C26C46">
        <w:t xml:space="preserve"> данных</w:t>
      </w:r>
    </w:p>
    <w:p w:rsidR="007E3B34" w:rsidRPr="00BE230D" w:rsidRDefault="007E3B34" w:rsidP="007E3B34">
      <w:pPr>
        <w:pStyle w:val="a3"/>
      </w:pPr>
      <w:r w:rsidRPr="00BE230D">
        <w:t>Общее количество обращений, поступивших от граждан, юридических лиц, государственных органов, органов местного самоуправления, индивид</w:t>
      </w:r>
      <w:r w:rsidRPr="00BE230D">
        <w:t>у</w:t>
      </w:r>
      <w:r w:rsidRPr="00BE230D">
        <w:t>альных предпринимателей, коммерческих организаций, общественных объ</w:t>
      </w:r>
      <w:r w:rsidRPr="00BE230D">
        <w:t>е</w:t>
      </w:r>
      <w:r w:rsidRPr="00BE230D">
        <w:t>динений и других, за отчетный период.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2760"/>
        <w:gridCol w:w="4819"/>
      </w:tblGrid>
      <w:tr w:rsidR="007E3B34" w:rsidRPr="00F84FD1" w:rsidTr="007E3B34">
        <w:trPr>
          <w:trHeight w:val="300"/>
          <w:jc w:val="center"/>
        </w:trPr>
        <w:tc>
          <w:tcPr>
            <w:tcW w:w="4752" w:type="dxa"/>
            <w:gridSpan w:val="2"/>
          </w:tcPr>
          <w:p w:rsidR="007E3B34" w:rsidRPr="00F84FD1" w:rsidRDefault="007E3B34" w:rsidP="007E3B34">
            <w:pPr>
              <w:pStyle w:val="-"/>
            </w:pPr>
            <w:r w:rsidRPr="00F84FD1">
              <w:t>Период</w:t>
            </w:r>
          </w:p>
        </w:tc>
        <w:tc>
          <w:tcPr>
            <w:tcW w:w="4818" w:type="dxa"/>
            <w:shd w:val="clear" w:color="auto" w:fill="auto"/>
            <w:noWrap/>
            <w:vAlign w:val="center"/>
            <w:hideMark/>
          </w:tcPr>
          <w:p w:rsidR="007E3B34" w:rsidRPr="00F84FD1" w:rsidRDefault="007E3B34" w:rsidP="007E3B34">
            <w:pPr>
              <w:pStyle w:val="-"/>
            </w:pPr>
            <w:r w:rsidRPr="00F84FD1">
              <w:t>Общее количество обращений</w:t>
            </w:r>
          </w:p>
        </w:tc>
      </w:tr>
      <w:tr w:rsidR="007E3B34" w:rsidRPr="00F84FD1" w:rsidTr="007E3B34">
        <w:trPr>
          <w:trHeight w:val="300"/>
          <w:jc w:val="center"/>
        </w:trPr>
        <w:tc>
          <w:tcPr>
            <w:tcW w:w="1992" w:type="dxa"/>
            <w:vAlign w:val="center"/>
          </w:tcPr>
          <w:p w:rsidR="007E3B34" w:rsidRPr="00F84FD1" w:rsidRDefault="007E3B34" w:rsidP="007E3B34">
            <w:pPr>
              <w:pStyle w:val="a4"/>
            </w:pPr>
            <w:r w:rsidRPr="00F84FD1">
              <w:t>2013 год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7E3B34" w:rsidRPr="00F84FD1" w:rsidRDefault="007E3B34" w:rsidP="007E3B34">
            <w:pPr>
              <w:pStyle w:val="a4"/>
            </w:pPr>
            <w:r w:rsidRPr="00F84FD1">
              <w:t xml:space="preserve">1 кв. </w:t>
            </w:r>
          </w:p>
        </w:tc>
        <w:tc>
          <w:tcPr>
            <w:tcW w:w="4818" w:type="dxa"/>
            <w:shd w:val="clear" w:color="auto" w:fill="auto"/>
            <w:noWrap/>
            <w:vAlign w:val="center"/>
          </w:tcPr>
          <w:p w:rsidR="007E3B34" w:rsidRPr="00F84FD1" w:rsidRDefault="007E3B34" w:rsidP="007E3B34">
            <w:pPr>
              <w:pStyle w:val="a4"/>
            </w:pPr>
            <w:r w:rsidRPr="00F84FD1">
              <w:t>4</w:t>
            </w:r>
          </w:p>
        </w:tc>
      </w:tr>
      <w:tr w:rsidR="007E3B34" w:rsidRPr="00F84FD1" w:rsidTr="007E3B34">
        <w:trPr>
          <w:trHeight w:val="300"/>
          <w:jc w:val="center"/>
        </w:trPr>
        <w:tc>
          <w:tcPr>
            <w:tcW w:w="1992" w:type="dxa"/>
            <w:vAlign w:val="center"/>
          </w:tcPr>
          <w:p w:rsidR="007E3B34" w:rsidRPr="00F84FD1" w:rsidRDefault="007E3B34" w:rsidP="007E3B34">
            <w:pPr>
              <w:pStyle w:val="a4"/>
            </w:pPr>
            <w:r w:rsidRPr="00F84FD1">
              <w:t>2014 год</w:t>
            </w:r>
          </w:p>
        </w:tc>
        <w:tc>
          <w:tcPr>
            <w:tcW w:w="2760" w:type="dxa"/>
            <w:shd w:val="clear" w:color="auto" w:fill="auto"/>
            <w:noWrap/>
            <w:vAlign w:val="center"/>
          </w:tcPr>
          <w:p w:rsidR="007E3B34" w:rsidRPr="00F84FD1" w:rsidRDefault="007E3B34" w:rsidP="007E3B34">
            <w:pPr>
              <w:pStyle w:val="a4"/>
            </w:pPr>
            <w:r w:rsidRPr="00F84FD1">
              <w:t xml:space="preserve">1 кв. </w:t>
            </w:r>
          </w:p>
        </w:tc>
        <w:tc>
          <w:tcPr>
            <w:tcW w:w="4818" w:type="dxa"/>
            <w:shd w:val="clear" w:color="auto" w:fill="auto"/>
            <w:noWrap/>
            <w:vAlign w:val="center"/>
          </w:tcPr>
          <w:p w:rsidR="007E3B34" w:rsidRPr="00F84FD1" w:rsidRDefault="007E3B34" w:rsidP="007E3B34">
            <w:pPr>
              <w:pStyle w:val="a4"/>
            </w:pPr>
            <w:r w:rsidRPr="00F84FD1">
              <w:t>6</w:t>
            </w:r>
          </w:p>
        </w:tc>
      </w:tr>
    </w:tbl>
    <w:p w:rsidR="007E3B34" w:rsidRDefault="007E3B34" w:rsidP="007E3B34">
      <w:pPr>
        <w:pStyle w:val="a3"/>
      </w:pPr>
      <w:r w:rsidRPr="00BE230D">
        <w:t>За 1 квартал 2014 года поступило 6 обращений граждан в области пе</w:t>
      </w:r>
      <w:r w:rsidRPr="00BE230D">
        <w:t>р</w:t>
      </w:r>
      <w:r w:rsidRPr="00BE230D">
        <w:t>сональных данных. Обращений юридических лиц не поступало</w:t>
      </w:r>
      <w:r>
        <w:t>.</w:t>
      </w:r>
    </w:p>
    <w:p w:rsidR="007E3B34" w:rsidRPr="00BE230D" w:rsidRDefault="007E3B34" w:rsidP="007E3B34">
      <w:pPr>
        <w:ind w:firstLine="720"/>
        <w:rPr>
          <w:szCs w:val="28"/>
          <w:lang w:eastAsia="ar-SA"/>
        </w:rPr>
      </w:pPr>
    </w:p>
    <w:p w:rsidR="007E3B34" w:rsidRPr="00BE230D" w:rsidRDefault="007E3B34" w:rsidP="007E3B34">
      <w:pPr>
        <w:pStyle w:val="4"/>
        <w:spacing w:before="0"/>
      </w:pPr>
      <w:r w:rsidRPr="00BE230D">
        <w:t>Рассмотрение обращений поступивших от физических лиц</w:t>
      </w:r>
    </w:p>
    <w:p w:rsidR="007E3B34" w:rsidRPr="007E3B34" w:rsidRDefault="007E3B34" w:rsidP="007E3B34">
      <w:pPr>
        <w:rPr>
          <w:rFonts w:ascii="Times New Roman" w:hAnsi="Times New Roman" w:cs="Times New Roman"/>
          <w:sz w:val="28"/>
          <w:szCs w:val="28"/>
        </w:rPr>
      </w:pPr>
      <w:r w:rsidRPr="007E3B34">
        <w:rPr>
          <w:rFonts w:ascii="Times New Roman" w:hAnsi="Times New Roman" w:cs="Times New Roman"/>
          <w:sz w:val="28"/>
          <w:szCs w:val="28"/>
        </w:rPr>
        <w:t>Всего за 1 кв. 2014 года поступило 6 обращений от физических лиц.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7E3B34" w:rsidRPr="00BE169E" w:rsidTr="007E3B34">
        <w:trPr>
          <w:trHeight w:val="300"/>
          <w:jc w:val="center"/>
        </w:trPr>
        <w:tc>
          <w:tcPr>
            <w:tcW w:w="3078" w:type="dxa"/>
            <w:gridSpan w:val="2"/>
            <w:vAlign w:val="center"/>
          </w:tcPr>
          <w:p w:rsidR="007E3B34" w:rsidRPr="00BE169E" w:rsidRDefault="007E3B34" w:rsidP="007E3B34">
            <w:pPr>
              <w:pStyle w:val="-"/>
            </w:pPr>
            <w:r w:rsidRPr="00BE169E">
              <w:t>Период</w:t>
            </w:r>
          </w:p>
        </w:tc>
        <w:tc>
          <w:tcPr>
            <w:tcW w:w="2164" w:type="dxa"/>
            <w:vAlign w:val="center"/>
          </w:tcPr>
          <w:p w:rsidR="007E3B34" w:rsidRPr="00BE169E" w:rsidRDefault="007E3B34" w:rsidP="007E3B34">
            <w:pPr>
              <w:pStyle w:val="-"/>
            </w:pPr>
            <w:r w:rsidRPr="00BE169E">
              <w:t>поступило из ЦА</w:t>
            </w:r>
          </w:p>
        </w:tc>
        <w:tc>
          <w:tcPr>
            <w:tcW w:w="2164" w:type="dxa"/>
            <w:vAlign w:val="center"/>
          </w:tcPr>
          <w:p w:rsidR="007E3B34" w:rsidRPr="00BE169E" w:rsidRDefault="007E3B34" w:rsidP="007E3B34">
            <w:pPr>
              <w:pStyle w:val="-"/>
            </w:pPr>
            <w:r w:rsidRPr="00BE169E"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7E3B34" w:rsidRPr="00BE169E" w:rsidRDefault="007E3B34" w:rsidP="007E3B34">
            <w:pPr>
              <w:pStyle w:val="-"/>
            </w:pPr>
            <w:r w:rsidRPr="00BE169E">
              <w:t>Общее количество обращений</w:t>
            </w:r>
          </w:p>
        </w:tc>
      </w:tr>
      <w:tr w:rsidR="007E3B34" w:rsidRPr="00BE169E" w:rsidTr="007E3B34">
        <w:trPr>
          <w:trHeight w:val="300"/>
          <w:jc w:val="center"/>
        </w:trPr>
        <w:tc>
          <w:tcPr>
            <w:tcW w:w="1348" w:type="dxa"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2013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1 кв.</w:t>
            </w:r>
          </w:p>
        </w:tc>
        <w:tc>
          <w:tcPr>
            <w:tcW w:w="2164" w:type="dxa"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0</w:t>
            </w:r>
          </w:p>
        </w:tc>
        <w:tc>
          <w:tcPr>
            <w:tcW w:w="2164" w:type="dxa"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3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3</w:t>
            </w:r>
          </w:p>
        </w:tc>
      </w:tr>
      <w:tr w:rsidR="007E3B34" w:rsidRPr="00BE169E" w:rsidTr="007E3B34">
        <w:trPr>
          <w:trHeight w:val="300"/>
          <w:jc w:val="center"/>
        </w:trPr>
        <w:tc>
          <w:tcPr>
            <w:tcW w:w="1348" w:type="dxa"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2014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1 кв.</w:t>
            </w:r>
          </w:p>
        </w:tc>
        <w:tc>
          <w:tcPr>
            <w:tcW w:w="2164" w:type="dxa"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0</w:t>
            </w:r>
          </w:p>
        </w:tc>
        <w:tc>
          <w:tcPr>
            <w:tcW w:w="2164" w:type="dxa"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6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7E3B34" w:rsidRPr="00BE169E" w:rsidRDefault="007E3B34" w:rsidP="007E3B34">
            <w:pPr>
              <w:pStyle w:val="a4"/>
            </w:pPr>
            <w:r w:rsidRPr="00BE169E">
              <w:t>6</w:t>
            </w:r>
          </w:p>
        </w:tc>
      </w:tr>
    </w:tbl>
    <w:p w:rsidR="007E3B34" w:rsidRPr="00354537" w:rsidRDefault="007E3B34" w:rsidP="007E3B34"/>
    <w:p w:rsidR="007E3B34" w:rsidRPr="007E3B34" w:rsidRDefault="007E3B34" w:rsidP="007E3B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3B34">
        <w:rPr>
          <w:rFonts w:ascii="Times New Roman" w:hAnsi="Times New Roman" w:cs="Times New Roman"/>
          <w:sz w:val="28"/>
          <w:szCs w:val="28"/>
          <w:lang w:eastAsia="ar-SA"/>
        </w:rPr>
        <w:t>15.01.2014 поступило обращение с информацией, чт</w:t>
      </w:r>
      <w:proofErr w:type="gramStart"/>
      <w:r w:rsidRPr="007E3B34">
        <w:rPr>
          <w:rFonts w:ascii="Times New Roman" w:hAnsi="Times New Roman" w:cs="Times New Roman"/>
          <w:sz w:val="28"/>
          <w:szCs w:val="28"/>
          <w:lang w:eastAsia="ar-SA"/>
        </w:rPr>
        <w:t>о ООО</w:t>
      </w:r>
      <w:proofErr w:type="gramEnd"/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 "УЖХК г. Петропавловска-Камчатского", в рамках работы по вз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сканию задолженности направляет запросы в организации Края, с просьбой прислать адресный список работников для проверки наличия задолженности за услуги ЖКХ по адресу. В ООО "УЖХК г. Петропавловска-Камчатского" направлен запрос, при рассмотрении ответа на который нарушений законод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тельства не установлено. Заявителю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направлен</w:t>
      </w:r>
      <w:proofErr w:type="gramEnd"/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 ответ.</w:t>
      </w:r>
    </w:p>
    <w:p w:rsidR="007E3B34" w:rsidRPr="007E3B34" w:rsidRDefault="007E3B34" w:rsidP="007E3B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3B34">
        <w:rPr>
          <w:rFonts w:ascii="Times New Roman" w:hAnsi="Times New Roman" w:cs="Times New Roman"/>
          <w:sz w:val="28"/>
          <w:szCs w:val="28"/>
          <w:lang w:eastAsia="ar-SA"/>
        </w:rPr>
        <w:t>27.01.2014 поступило обращение с просьбой по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твердить факт направления электронной формы уведомления об обработке </w:t>
      </w:r>
      <w:proofErr w:type="gramStart"/>
      <w:r w:rsidRPr="007E3B34">
        <w:rPr>
          <w:rFonts w:ascii="Times New Roman" w:hAnsi="Times New Roman" w:cs="Times New Roman"/>
          <w:sz w:val="28"/>
          <w:szCs w:val="28"/>
          <w:lang w:eastAsia="ar-SA"/>
        </w:rPr>
        <w:t>персональных</w:t>
      </w:r>
      <w:proofErr w:type="gramEnd"/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 данных с сайта Роскомнадзора. Заявителю направлено разъя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нение о порядке подачи уведомления.</w:t>
      </w:r>
    </w:p>
    <w:p w:rsidR="007E3B34" w:rsidRPr="007E3B34" w:rsidRDefault="007E3B34" w:rsidP="007E3B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17.02.2014 поступило обращение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гражданки с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 жалобой на незаконное использование МБДОУ "Тигильский детский сад "Каюмка" ее виде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записи. Ответ на запрос в установленный срок не поступил. Рассмотрение обращения продлено до 17.04.2014.</w:t>
      </w:r>
    </w:p>
    <w:p w:rsidR="007E3B34" w:rsidRPr="007E3B34" w:rsidRDefault="007E3B34" w:rsidP="007E3B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3B34">
        <w:rPr>
          <w:rFonts w:ascii="Times New Roman" w:hAnsi="Times New Roman" w:cs="Times New Roman"/>
          <w:sz w:val="28"/>
          <w:szCs w:val="28"/>
          <w:lang w:eastAsia="ar-SA"/>
        </w:rPr>
        <w:t>24.03.2014 поступило обращение гражданина по поводу зво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ков "Национальной службы взыскания" о погашении долга. Поскольку гра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данин не указал ни своего адреса, ни номера телефона, ни информации о том, чей долг предлагают оплатить – ему направлен запрос о предоставлении </w:t>
      </w:r>
      <w:proofErr w:type="gramStart"/>
      <w:r w:rsidRPr="007E3B34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полнительных</w:t>
      </w:r>
      <w:proofErr w:type="gramEnd"/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 сведений.</w:t>
      </w:r>
    </w:p>
    <w:p w:rsidR="007E3B34" w:rsidRPr="007E3B34" w:rsidRDefault="007E3B34" w:rsidP="007E3B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3B34">
        <w:rPr>
          <w:rFonts w:ascii="Times New Roman" w:hAnsi="Times New Roman" w:cs="Times New Roman"/>
          <w:sz w:val="28"/>
          <w:szCs w:val="28"/>
          <w:lang w:eastAsia="ar-SA"/>
        </w:rPr>
        <w:t>27.03.2014 поступило обращение по поводу перед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чи его персональных данных "УЖХК г. Петропавловска-Камчатского" в б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ро кредитных историй. Оператору направлен запрос.</w:t>
      </w:r>
    </w:p>
    <w:p w:rsidR="007E3B34" w:rsidRPr="007E3B34" w:rsidRDefault="007E3B34" w:rsidP="007E3B3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E3B34">
        <w:rPr>
          <w:rFonts w:ascii="Times New Roman" w:hAnsi="Times New Roman" w:cs="Times New Roman"/>
          <w:sz w:val="28"/>
          <w:szCs w:val="28"/>
          <w:lang w:eastAsia="ar-SA"/>
        </w:rPr>
        <w:t>31.03.2014 поступило обращение</w:t>
      </w:r>
      <w:r w:rsidR="00C6485F">
        <w:rPr>
          <w:rFonts w:ascii="Times New Roman" w:hAnsi="Times New Roman" w:cs="Times New Roman"/>
          <w:sz w:val="28"/>
          <w:szCs w:val="28"/>
          <w:lang w:eastAsia="ar-SA"/>
        </w:rPr>
        <w:t xml:space="preserve"> гражданина, 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перенаправле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ное из прокуратуры с жалобой на действия сотрудника Государственной жилищной инспекции в части снятия копи</w:t>
      </w:r>
      <w:r w:rsidR="00C6485F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 xml:space="preserve"> паспорта заявительницы, как рук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E3B34">
        <w:rPr>
          <w:rFonts w:ascii="Times New Roman" w:hAnsi="Times New Roman" w:cs="Times New Roman"/>
          <w:sz w:val="28"/>
          <w:szCs w:val="28"/>
          <w:lang w:eastAsia="ar-SA"/>
        </w:rPr>
        <w:t>водителя юридического лица при составлении административного протокола на юридическое лицо. В Государственную жилищную инспекцию направлен запрос о разъяснении действий инспектора.</w:t>
      </w:r>
    </w:p>
    <w:p w:rsidR="007E3B34" w:rsidRPr="00BE230D" w:rsidRDefault="007E3B34" w:rsidP="007E3B34">
      <w:pPr>
        <w:pStyle w:val="4"/>
        <w:rPr>
          <w:lang w:eastAsia="ar-SA"/>
        </w:rPr>
      </w:pPr>
      <w:r w:rsidRPr="00BE230D">
        <w:rPr>
          <w:lang w:eastAsia="ar-SA"/>
        </w:rPr>
        <w:t xml:space="preserve">Типовые нарушения, совершаемые операторами в области </w:t>
      </w:r>
      <w:proofErr w:type="gramStart"/>
      <w:r w:rsidRPr="00BE230D">
        <w:rPr>
          <w:lang w:eastAsia="ar-SA"/>
        </w:rPr>
        <w:t>персонал</w:t>
      </w:r>
      <w:r w:rsidRPr="00BE230D">
        <w:rPr>
          <w:lang w:eastAsia="ar-SA"/>
        </w:rPr>
        <w:t>ь</w:t>
      </w:r>
      <w:r w:rsidRPr="00BE230D">
        <w:rPr>
          <w:lang w:eastAsia="ar-SA"/>
        </w:rPr>
        <w:t>ных</w:t>
      </w:r>
      <w:proofErr w:type="gramEnd"/>
      <w:r w:rsidRPr="00BE230D">
        <w:rPr>
          <w:lang w:eastAsia="ar-SA"/>
        </w:rPr>
        <w:t xml:space="preserve"> данных:</w:t>
      </w:r>
    </w:p>
    <w:p w:rsidR="007E3B34" w:rsidRPr="007E3B34" w:rsidRDefault="007E3B34" w:rsidP="007E3B34">
      <w:pPr>
        <w:ind w:firstLine="720"/>
        <w:rPr>
          <w:rFonts w:ascii="Times New Roman" w:hAnsi="Times New Roman" w:cs="Times New Roman"/>
          <w:sz w:val="28"/>
          <w:szCs w:val="28"/>
          <w:lang w:eastAsia="ar-SA"/>
        </w:rPr>
      </w:pPr>
      <w:r w:rsidRPr="007E3B34">
        <w:rPr>
          <w:rFonts w:ascii="Times New Roman" w:hAnsi="Times New Roman" w:cs="Times New Roman"/>
          <w:sz w:val="28"/>
          <w:szCs w:val="28"/>
          <w:lang w:eastAsia="ar-SA"/>
        </w:rPr>
        <w:t>Нарушений, по обращениям, в отчетном периоде не зафиксировано.</w:t>
      </w:r>
    </w:p>
    <w:p w:rsidR="007E3B34" w:rsidRDefault="007E3B34" w:rsidP="001E7745">
      <w:pPr>
        <w:pStyle w:val="a3"/>
        <w:rPr>
          <w:lang w:val="en-US"/>
        </w:rPr>
      </w:pPr>
    </w:p>
    <w:p w:rsidR="007E3B34" w:rsidRDefault="007E3B34" w:rsidP="001E7745">
      <w:pPr>
        <w:pStyle w:val="a3"/>
        <w:rPr>
          <w:lang w:val="en-US"/>
        </w:rPr>
      </w:pPr>
    </w:p>
    <w:p w:rsidR="007E3B34" w:rsidRDefault="007E3B34" w:rsidP="001E7745">
      <w:pPr>
        <w:pStyle w:val="a3"/>
        <w:rPr>
          <w:lang w:val="en-US"/>
        </w:rPr>
      </w:pP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E7745"/>
    <w:rsid w:val="000B4193"/>
    <w:rsid w:val="001E7745"/>
    <w:rsid w:val="00262C89"/>
    <w:rsid w:val="002E45AE"/>
    <w:rsid w:val="003029D6"/>
    <w:rsid w:val="00347B44"/>
    <w:rsid w:val="0037612F"/>
    <w:rsid w:val="005802D2"/>
    <w:rsid w:val="006E7304"/>
    <w:rsid w:val="007E3B34"/>
    <w:rsid w:val="00B31338"/>
    <w:rsid w:val="00C6485F"/>
    <w:rsid w:val="00C97FF8"/>
    <w:rsid w:val="00FC12AD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2014-04-01T04:20:00Z</dcterms:created>
  <dcterms:modified xsi:type="dcterms:W3CDTF">2014-06-03T02:31:00Z</dcterms:modified>
</cp:coreProperties>
</file>